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47627" w14:textId="51B9CA1F" w:rsidR="00204CE6" w:rsidRDefault="001418CA" w:rsidP="00196BD8">
      <w:pPr>
        <w:pStyle w:val="Titel"/>
        <w:spacing w:line="276" w:lineRule="auto"/>
        <w:jc w:val="both"/>
        <w:rPr>
          <w:rFonts w:asciiTheme="minorHAnsi" w:hAnsiTheme="minorHAnsi" w:cs="Calibri"/>
        </w:rPr>
      </w:pPr>
      <w:r>
        <w:rPr>
          <w:rFonts w:asciiTheme="minorHAnsi" w:hAnsiTheme="minorHAnsi" w:cs="Calibri"/>
        </w:rPr>
        <w:t xml:space="preserve">Kleine </w:t>
      </w:r>
      <w:r w:rsidR="00D5002A">
        <w:rPr>
          <w:rFonts w:asciiTheme="minorHAnsi" w:hAnsiTheme="minorHAnsi" w:cs="Calibri"/>
        </w:rPr>
        <w:t>lettertjes</w:t>
      </w:r>
      <w:r w:rsidR="00EA060D">
        <w:rPr>
          <w:rFonts w:asciiTheme="minorHAnsi" w:hAnsiTheme="minorHAnsi" w:cs="Calibri"/>
        </w:rPr>
        <w:t xml:space="preserve">, grote gevolgen: de terhandstellingsplicht </w:t>
      </w:r>
      <w:r w:rsidR="001553F5">
        <w:rPr>
          <w:rFonts w:asciiTheme="minorHAnsi" w:hAnsiTheme="minorHAnsi" w:cs="Calibri"/>
        </w:rPr>
        <w:t>van algemene voorwaarden</w:t>
      </w:r>
    </w:p>
    <w:p w14:paraId="62B2D7A1" w14:textId="173F48E3" w:rsidR="008E1A3C" w:rsidRPr="008E1A3C" w:rsidRDefault="008E1A3C" w:rsidP="00196BD8">
      <w:pPr>
        <w:spacing w:line="276" w:lineRule="auto"/>
        <w:jc w:val="both"/>
      </w:pPr>
    </w:p>
    <w:p w14:paraId="7398E8C6" w14:textId="77777777" w:rsidR="004E3FC5" w:rsidRDefault="004E3FC5" w:rsidP="00196BD8">
      <w:pPr>
        <w:spacing w:line="276" w:lineRule="auto"/>
        <w:jc w:val="both"/>
        <w:rPr>
          <w:rFonts w:cs="Calibri"/>
        </w:rPr>
      </w:pPr>
    </w:p>
    <w:p w14:paraId="6AF54EB6" w14:textId="77777777" w:rsidR="00EA060D" w:rsidRDefault="00EA060D" w:rsidP="00196BD8">
      <w:pPr>
        <w:spacing w:line="276" w:lineRule="auto"/>
        <w:jc w:val="both"/>
        <w:rPr>
          <w:rFonts w:cs="Calibri"/>
        </w:rPr>
      </w:pPr>
    </w:p>
    <w:p w14:paraId="399C8F8E" w14:textId="77777777" w:rsidR="00EA060D" w:rsidRDefault="00EA060D" w:rsidP="00196BD8">
      <w:pPr>
        <w:spacing w:line="276" w:lineRule="auto"/>
        <w:jc w:val="both"/>
        <w:rPr>
          <w:rFonts w:cs="Calibri"/>
        </w:rPr>
      </w:pPr>
    </w:p>
    <w:p w14:paraId="36260F2B" w14:textId="77777777" w:rsidR="00EA060D" w:rsidRDefault="00EA060D" w:rsidP="00196BD8">
      <w:pPr>
        <w:spacing w:line="276" w:lineRule="auto"/>
        <w:jc w:val="both"/>
        <w:rPr>
          <w:rFonts w:cs="Calibri"/>
        </w:rPr>
      </w:pPr>
    </w:p>
    <w:p w14:paraId="1C8DC2A9" w14:textId="77777777" w:rsidR="00EA060D" w:rsidRDefault="00EA060D" w:rsidP="00196BD8">
      <w:pPr>
        <w:spacing w:line="276" w:lineRule="auto"/>
        <w:jc w:val="both"/>
        <w:rPr>
          <w:rFonts w:cs="Calibri"/>
        </w:rPr>
      </w:pPr>
    </w:p>
    <w:p w14:paraId="72D089FC" w14:textId="77777777" w:rsidR="00EA060D" w:rsidRDefault="00EA060D" w:rsidP="00196BD8">
      <w:pPr>
        <w:spacing w:line="276" w:lineRule="auto"/>
        <w:jc w:val="both"/>
        <w:rPr>
          <w:rFonts w:cs="Calibri"/>
        </w:rPr>
      </w:pPr>
    </w:p>
    <w:p w14:paraId="4382E4AB" w14:textId="77777777" w:rsidR="00EA060D" w:rsidRDefault="00EA060D" w:rsidP="00196BD8">
      <w:pPr>
        <w:spacing w:line="276" w:lineRule="auto"/>
        <w:jc w:val="both"/>
        <w:rPr>
          <w:rFonts w:cs="Calibri"/>
        </w:rPr>
      </w:pPr>
    </w:p>
    <w:p w14:paraId="08EE5686" w14:textId="77777777" w:rsidR="00EA060D" w:rsidRDefault="00EA060D" w:rsidP="00196BD8">
      <w:pPr>
        <w:spacing w:line="276" w:lineRule="auto"/>
        <w:jc w:val="both"/>
        <w:rPr>
          <w:rFonts w:cs="Calibri"/>
        </w:rPr>
      </w:pPr>
    </w:p>
    <w:p w14:paraId="78368816" w14:textId="77777777" w:rsidR="00EA060D" w:rsidRPr="00B04838" w:rsidRDefault="00EA060D" w:rsidP="00196BD8">
      <w:pPr>
        <w:spacing w:line="276" w:lineRule="auto"/>
        <w:jc w:val="both"/>
        <w:rPr>
          <w:rFonts w:cs="Calibri"/>
        </w:rPr>
      </w:pPr>
    </w:p>
    <w:p w14:paraId="0B514678" w14:textId="2B507078" w:rsidR="004E3FC5" w:rsidRPr="00B04838" w:rsidRDefault="005512C7" w:rsidP="00196BD8">
      <w:pPr>
        <w:spacing w:line="276" w:lineRule="auto"/>
        <w:jc w:val="both"/>
        <w:rPr>
          <w:rFonts w:cs="Calibri"/>
        </w:rPr>
      </w:pPr>
      <w:r>
        <w:rPr>
          <w:rFonts w:cs="Calibri"/>
        </w:rPr>
        <w:t xml:space="preserve">Naam: </w:t>
      </w:r>
      <w:r w:rsidR="0012745E" w:rsidRPr="00B04838">
        <w:rPr>
          <w:rFonts w:cs="Calibri"/>
        </w:rPr>
        <w:t>Noa Smits</w:t>
      </w:r>
    </w:p>
    <w:p w14:paraId="3D823A99" w14:textId="42684F28" w:rsidR="0012745E" w:rsidRPr="00B04838" w:rsidRDefault="000D2D53" w:rsidP="00196BD8">
      <w:pPr>
        <w:spacing w:line="276" w:lineRule="auto"/>
        <w:jc w:val="both"/>
        <w:rPr>
          <w:rFonts w:cs="Calibri"/>
        </w:rPr>
      </w:pPr>
      <w:r>
        <w:rPr>
          <w:rFonts w:cs="Calibri"/>
        </w:rPr>
        <w:t xml:space="preserve">Studentnummer: </w:t>
      </w:r>
      <w:r w:rsidR="0012745E" w:rsidRPr="00B04838">
        <w:rPr>
          <w:rFonts w:cs="Calibri"/>
        </w:rPr>
        <w:t>S1036236</w:t>
      </w:r>
    </w:p>
    <w:p w14:paraId="7FB74568" w14:textId="72A546D7" w:rsidR="0012745E" w:rsidRDefault="003B7AC9" w:rsidP="00196BD8">
      <w:pPr>
        <w:spacing w:line="276" w:lineRule="auto"/>
        <w:jc w:val="both"/>
        <w:rPr>
          <w:rFonts w:cs="Calibri"/>
        </w:rPr>
      </w:pPr>
      <w:r>
        <w:rPr>
          <w:rFonts w:cs="Calibri"/>
        </w:rPr>
        <w:t>Specialisatie</w:t>
      </w:r>
      <w:r w:rsidR="00635FD7">
        <w:rPr>
          <w:rFonts w:cs="Calibri"/>
        </w:rPr>
        <w:t xml:space="preserve">: </w:t>
      </w:r>
      <w:r w:rsidR="0012745E" w:rsidRPr="00B04838">
        <w:rPr>
          <w:rFonts w:cs="Calibri"/>
        </w:rPr>
        <w:t xml:space="preserve">Contractenrecht </w:t>
      </w:r>
    </w:p>
    <w:p w14:paraId="5408CF83" w14:textId="4125380E" w:rsidR="000D2D53" w:rsidRDefault="000D2D53" w:rsidP="00196BD8">
      <w:pPr>
        <w:spacing w:line="276" w:lineRule="auto"/>
        <w:jc w:val="both"/>
        <w:rPr>
          <w:rFonts w:cs="Calibri"/>
        </w:rPr>
      </w:pPr>
      <w:r>
        <w:rPr>
          <w:rFonts w:cs="Calibri"/>
        </w:rPr>
        <w:t>Scriptiebegeleider:</w:t>
      </w:r>
      <w:r w:rsidR="003C57D4">
        <w:rPr>
          <w:rFonts w:cs="Calibri"/>
        </w:rPr>
        <w:t xml:space="preserve"> </w:t>
      </w:r>
      <w:r w:rsidR="00733C8A">
        <w:rPr>
          <w:rFonts w:cs="Calibri"/>
        </w:rPr>
        <w:t xml:space="preserve">mr. </w:t>
      </w:r>
      <w:r w:rsidR="003C57D4">
        <w:rPr>
          <w:rFonts w:cs="Calibri"/>
        </w:rPr>
        <w:t xml:space="preserve">M.G.J. van ’t Ende </w:t>
      </w:r>
    </w:p>
    <w:p w14:paraId="0D59B41B" w14:textId="62C20F17" w:rsidR="00733C8A" w:rsidRDefault="00733C8A" w:rsidP="00196BD8">
      <w:pPr>
        <w:spacing w:line="276" w:lineRule="auto"/>
        <w:jc w:val="both"/>
        <w:rPr>
          <w:rFonts w:cs="Calibri"/>
        </w:rPr>
      </w:pPr>
      <w:r>
        <w:rPr>
          <w:rFonts w:cs="Calibri"/>
        </w:rPr>
        <w:t>Tweede lezer: mr. dr. M.D.H. Nelemans</w:t>
      </w:r>
    </w:p>
    <w:p w14:paraId="4C472DB6" w14:textId="50ADF58A" w:rsidR="003C57D4" w:rsidRDefault="003C57D4" w:rsidP="00196BD8">
      <w:pPr>
        <w:spacing w:line="276" w:lineRule="auto"/>
        <w:jc w:val="both"/>
        <w:rPr>
          <w:rFonts w:cs="Calibri"/>
        </w:rPr>
      </w:pPr>
      <w:r>
        <w:rPr>
          <w:rFonts w:cs="Calibri"/>
        </w:rPr>
        <w:t xml:space="preserve">Inleverdatum: 18 november 2024 </w:t>
      </w:r>
    </w:p>
    <w:p w14:paraId="3914C4FA" w14:textId="2B7F48D0" w:rsidR="00EA060D" w:rsidRDefault="00F106C7" w:rsidP="00196BD8">
      <w:pPr>
        <w:spacing w:line="276" w:lineRule="auto"/>
        <w:jc w:val="both"/>
        <w:rPr>
          <w:rFonts w:cs="Calibri"/>
        </w:rPr>
      </w:pPr>
      <w:r>
        <w:rPr>
          <w:rFonts w:cs="Calibri"/>
        </w:rPr>
        <w:t xml:space="preserve">Woordenaantal: </w:t>
      </w:r>
      <w:r w:rsidR="000F3928">
        <w:rPr>
          <w:rFonts w:cs="Calibri"/>
        </w:rPr>
        <w:t>20</w:t>
      </w:r>
      <w:r w:rsidR="006A1F02">
        <w:rPr>
          <w:rFonts w:cs="Calibri"/>
        </w:rPr>
        <w:t>1</w:t>
      </w:r>
      <w:r w:rsidR="00A524A0">
        <w:rPr>
          <w:rFonts w:cs="Calibri"/>
        </w:rPr>
        <w:t>46</w:t>
      </w:r>
    </w:p>
    <w:p w14:paraId="77F64C9D" w14:textId="149CCAA3" w:rsidR="00C7298B" w:rsidRDefault="009E58ED" w:rsidP="003D2B43">
      <w:pPr>
        <w:spacing w:line="276" w:lineRule="auto"/>
        <w:jc w:val="center"/>
        <w:rPr>
          <w:rFonts w:cs="Calibri"/>
        </w:rPr>
      </w:pPr>
      <w:r>
        <w:fldChar w:fldCharType="begin"/>
      </w:r>
      <w:r>
        <w:instrText xml:space="preserve"> INCLUDEPICTURE "/Users/noasmits/Library/Group Containers/UBF8T346G9.ms/WebArchiveCopyPasteTempFiles/com.microsoft.Word/RU_logo_NL.jpg" \* MERGEFORMATINET </w:instrText>
      </w:r>
      <w:r>
        <w:fldChar w:fldCharType="separate"/>
      </w:r>
      <w:r>
        <w:rPr>
          <w:noProof/>
        </w:rPr>
        <w:drawing>
          <wp:inline distT="0" distB="0" distL="0" distR="0" wp14:anchorId="5F351B61" wp14:editId="28DE496D">
            <wp:extent cx="3480955" cy="1694049"/>
            <wp:effectExtent l="0" t="0" r="0" b="0"/>
            <wp:docPr id="620382346" name="Afbeelding 1" descr="Logo | Radboud Universit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Radboud Universite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5085" cy="1715525"/>
                    </a:xfrm>
                    <a:prstGeom prst="rect">
                      <a:avLst/>
                    </a:prstGeom>
                    <a:noFill/>
                    <a:ln>
                      <a:noFill/>
                    </a:ln>
                  </pic:spPr>
                </pic:pic>
              </a:graphicData>
            </a:graphic>
          </wp:inline>
        </w:drawing>
      </w:r>
      <w:r>
        <w:fldChar w:fldCharType="end"/>
      </w:r>
    </w:p>
    <w:sdt>
      <w:sdtPr>
        <w:rPr>
          <w:rFonts w:asciiTheme="minorHAnsi" w:eastAsiaTheme="minorHAnsi" w:hAnsiTheme="minorHAnsi" w:cstheme="minorBidi"/>
          <w:b w:val="0"/>
          <w:bCs w:val="0"/>
          <w:color w:val="auto"/>
          <w:kern w:val="2"/>
          <w:sz w:val="24"/>
          <w:szCs w:val="24"/>
          <w:lang w:eastAsia="en-US"/>
          <w14:ligatures w14:val="standardContextual"/>
        </w:rPr>
        <w:id w:val="188805527"/>
        <w:docPartObj>
          <w:docPartGallery w:val="Table of Contents"/>
          <w:docPartUnique/>
        </w:docPartObj>
      </w:sdtPr>
      <w:sdtEndPr>
        <w:rPr>
          <w:noProof/>
        </w:rPr>
      </w:sdtEndPr>
      <w:sdtContent>
        <w:p w14:paraId="5EE1C2D6" w14:textId="7B65A60F" w:rsidR="00F20F13" w:rsidRDefault="00F20F13">
          <w:pPr>
            <w:pStyle w:val="Kopvaninhoudsopgave"/>
          </w:pPr>
          <w:r>
            <w:t>Inhoudsopgave</w:t>
          </w:r>
        </w:p>
        <w:p w14:paraId="167909E8" w14:textId="61A05ED8" w:rsidR="00CA4440" w:rsidRDefault="00F20F13">
          <w:pPr>
            <w:pStyle w:val="Inhopg1"/>
            <w:tabs>
              <w:tab w:val="left" w:pos="480"/>
              <w:tab w:val="right" w:leader="dot" w:pos="9062"/>
            </w:tabs>
            <w:rPr>
              <w:rFonts w:eastAsiaTheme="minorEastAsia"/>
              <w:b w:val="0"/>
              <w:bCs w:val="0"/>
              <w:noProof/>
              <w:sz w:val="24"/>
              <w:szCs w:val="24"/>
              <w:lang w:eastAsia="nl-NL"/>
            </w:rPr>
          </w:pPr>
          <w:r>
            <w:rPr>
              <w:b w:val="0"/>
              <w:bCs w:val="0"/>
            </w:rPr>
            <w:fldChar w:fldCharType="begin"/>
          </w:r>
          <w:r>
            <w:instrText>TOC \o "1-3" \h \z \u</w:instrText>
          </w:r>
          <w:r>
            <w:rPr>
              <w:b w:val="0"/>
              <w:bCs w:val="0"/>
            </w:rPr>
            <w:fldChar w:fldCharType="separate"/>
          </w:r>
          <w:hyperlink w:anchor="_Toc186375500" w:history="1">
            <w:r w:rsidR="00CA4440" w:rsidRPr="000812CF">
              <w:rPr>
                <w:rStyle w:val="Hyperlink"/>
                <w:noProof/>
              </w:rPr>
              <w:t>1.</w:t>
            </w:r>
            <w:r w:rsidR="00CA4440">
              <w:rPr>
                <w:rFonts w:eastAsiaTheme="minorEastAsia"/>
                <w:b w:val="0"/>
                <w:bCs w:val="0"/>
                <w:noProof/>
                <w:sz w:val="24"/>
                <w:szCs w:val="24"/>
                <w:lang w:eastAsia="nl-NL"/>
              </w:rPr>
              <w:tab/>
            </w:r>
            <w:r w:rsidR="00CA4440" w:rsidRPr="000812CF">
              <w:rPr>
                <w:rStyle w:val="Hyperlink"/>
                <w:noProof/>
              </w:rPr>
              <w:t>Opzet/inleiding</w:t>
            </w:r>
            <w:r w:rsidR="00CA4440">
              <w:rPr>
                <w:noProof/>
                <w:webHidden/>
              </w:rPr>
              <w:tab/>
            </w:r>
            <w:r w:rsidR="00CA4440">
              <w:rPr>
                <w:noProof/>
                <w:webHidden/>
              </w:rPr>
              <w:fldChar w:fldCharType="begin"/>
            </w:r>
            <w:r w:rsidR="00CA4440">
              <w:rPr>
                <w:noProof/>
                <w:webHidden/>
              </w:rPr>
              <w:instrText xml:space="preserve"> PAGEREF _Toc186375500 \h </w:instrText>
            </w:r>
            <w:r w:rsidR="00CA4440">
              <w:rPr>
                <w:noProof/>
                <w:webHidden/>
              </w:rPr>
            </w:r>
            <w:r w:rsidR="00CA4440">
              <w:rPr>
                <w:noProof/>
                <w:webHidden/>
              </w:rPr>
              <w:fldChar w:fldCharType="separate"/>
            </w:r>
            <w:r w:rsidR="00CA4440">
              <w:rPr>
                <w:noProof/>
                <w:webHidden/>
              </w:rPr>
              <w:t>4</w:t>
            </w:r>
            <w:r w:rsidR="00CA4440">
              <w:rPr>
                <w:noProof/>
                <w:webHidden/>
              </w:rPr>
              <w:fldChar w:fldCharType="end"/>
            </w:r>
          </w:hyperlink>
        </w:p>
        <w:p w14:paraId="3C7DD748" w14:textId="7EC3E3A6" w:rsidR="00CA4440" w:rsidRDefault="00CA4440">
          <w:pPr>
            <w:pStyle w:val="Inhopg1"/>
            <w:tabs>
              <w:tab w:val="left" w:pos="480"/>
              <w:tab w:val="right" w:leader="dot" w:pos="9062"/>
            </w:tabs>
            <w:rPr>
              <w:rFonts w:eastAsiaTheme="minorEastAsia"/>
              <w:b w:val="0"/>
              <w:bCs w:val="0"/>
              <w:noProof/>
              <w:sz w:val="24"/>
              <w:szCs w:val="24"/>
              <w:lang w:eastAsia="nl-NL"/>
            </w:rPr>
          </w:pPr>
          <w:hyperlink w:anchor="_Toc186375501" w:history="1">
            <w:r w:rsidRPr="000812CF">
              <w:rPr>
                <w:rStyle w:val="Hyperlink"/>
                <w:noProof/>
              </w:rPr>
              <w:t>2.</w:t>
            </w:r>
            <w:r>
              <w:rPr>
                <w:rFonts w:eastAsiaTheme="minorEastAsia"/>
                <w:b w:val="0"/>
                <w:bCs w:val="0"/>
                <w:noProof/>
                <w:sz w:val="24"/>
                <w:szCs w:val="24"/>
                <w:lang w:eastAsia="nl-NL"/>
              </w:rPr>
              <w:tab/>
            </w:r>
            <w:r w:rsidRPr="000812CF">
              <w:rPr>
                <w:rStyle w:val="Hyperlink"/>
                <w:noProof/>
              </w:rPr>
              <w:t>Hoofdstuk 2 – De regeling van art. 6:234 BW</w:t>
            </w:r>
            <w:r>
              <w:rPr>
                <w:noProof/>
                <w:webHidden/>
              </w:rPr>
              <w:tab/>
            </w:r>
            <w:r>
              <w:rPr>
                <w:noProof/>
                <w:webHidden/>
              </w:rPr>
              <w:fldChar w:fldCharType="begin"/>
            </w:r>
            <w:r>
              <w:rPr>
                <w:noProof/>
                <w:webHidden/>
              </w:rPr>
              <w:instrText xml:space="preserve"> PAGEREF _Toc186375501 \h </w:instrText>
            </w:r>
            <w:r>
              <w:rPr>
                <w:noProof/>
                <w:webHidden/>
              </w:rPr>
            </w:r>
            <w:r>
              <w:rPr>
                <w:noProof/>
                <w:webHidden/>
              </w:rPr>
              <w:fldChar w:fldCharType="separate"/>
            </w:r>
            <w:r>
              <w:rPr>
                <w:noProof/>
                <w:webHidden/>
              </w:rPr>
              <w:t>8</w:t>
            </w:r>
            <w:r>
              <w:rPr>
                <w:noProof/>
                <w:webHidden/>
              </w:rPr>
              <w:fldChar w:fldCharType="end"/>
            </w:r>
          </w:hyperlink>
        </w:p>
        <w:p w14:paraId="42B8C25E" w14:textId="5C49B56F" w:rsidR="00CA4440" w:rsidRDefault="00CA4440">
          <w:pPr>
            <w:pStyle w:val="Inhopg3"/>
            <w:tabs>
              <w:tab w:val="left" w:pos="1200"/>
              <w:tab w:val="right" w:leader="dot" w:pos="9062"/>
            </w:tabs>
            <w:rPr>
              <w:rFonts w:eastAsiaTheme="minorEastAsia"/>
              <w:noProof/>
              <w:sz w:val="24"/>
              <w:szCs w:val="24"/>
              <w:lang w:eastAsia="nl-NL"/>
            </w:rPr>
          </w:pPr>
          <w:hyperlink w:anchor="_Toc186375502" w:history="1">
            <w:r w:rsidRPr="000812CF">
              <w:rPr>
                <w:rStyle w:val="Hyperlink"/>
                <w:noProof/>
              </w:rPr>
              <w:t>2.1.</w:t>
            </w:r>
            <w:r>
              <w:rPr>
                <w:rFonts w:eastAsiaTheme="minorEastAsia"/>
                <w:noProof/>
                <w:sz w:val="24"/>
                <w:szCs w:val="24"/>
                <w:lang w:eastAsia="nl-NL"/>
              </w:rPr>
              <w:tab/>
            </w:r>
            <w:r w:rsidRPr="000812CF">
              <w:rPr>
                <w:rStyle w:val="Hyperlink"/>
                <w:noProof/>
              </w:rPr>
              <w:t>De eisen van art. 6:234 BW</w:t>
            </w:r>
            <w:r>
              <w:rPr>
                <w:noProof/>
                <w:webHidden/>
              </w:rPr>
              <w:tab/>
            </w:r>
            <w:r>
              <w:rPr>
                <w:noProof/>
                <w:webHidden/>
              </w:rPr>
              <w:fldChar w:fldCharType="begin"/>
            </w:r>
            <w:r>
              <w:rPr>
                <w:noProof/>
                <w:webHidden/>
              </w:rPr>
              <w:instrText xml:space="preserve"> PAGEREF _Toc186375502 \h </w:instrText>
            </w:r>
            <w:r>
              <w:rPr>
                <w:noProof/>
                <w:webHidden/>
              </w:rPr>
            </w:r>
            <w:r>
              <w:rPr>
                <w:noProof/>
                <w:webHidden/>
              </w:rPr>
              <w:fldChar w:fldCharType="separate"/>
            </w:r>
            <w:r>
              <w:rPr>
                <w:noProof/>
                <w:webHidden/>
              </w:rPr>
              <w:t>9</w:t>
            </w:r>
            <w:r>
              <w:rPr>
                <w:noProof/>
                <w:webHidden/>
              </w:rPr>
              <w:fldChar w:fldCharType="end"/>
            </w:r>
          </w:hyperlink>
        </w:p>
        <w:p w14:paraId="4505687D" w14:textId="06B347F6"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03" w:history="1">
            <w:r w:rsidRPr="000812CF">
              <w:rPr>
                <w:rStyle w:val="Hyperlink"/>
                <w:noProof/>
              </w:rPr>
              <w:t>2.2.</w:t>
            </w:r>
            <w:r>
              <w:rPr>
                <w:rFonts w:eastAsiaTheme="minorEastAsia"/>
                <w:i w:val="0"/>
                <w:iCs w:val="0"/>
                <w:noProof/>
                <w:sz w:val="24"/>
                <w:szCs w:val="24"/>
                <w:lang w:eastAsia="nl-NL"/>
              </w:rPr>
              <w:tab/>
            </w:r>
            <w:r w:rsidRPr="000812CF">
              <w:rPr>
                <w:rStyle w:val="Hyperlink"/>
                <w:noProof/>
              </w:rPr>
              <w:t>Terhandstelling van de algemene voorwaarden (lid 1)</w:t>
            </w:r>
            <w:r>
              <w:rPr>
                <w:noProof/>
                <w:webHidden/>
              </w:rPr>
              <w:tab/>
            </w:r>
            <w:r>
              <w:rPr>
                <w:noProof/>
                <w:webHidden/>
              </w:rPr>
              <w:fldChar w:fldCharType="begin"/>
            </w:r>
            <w:r>
              <w:rPr>
                <w:noProof/>
                <w:webHidden/>
              </w:rPr>
              <w:instrText xml:space="preserve"> PAGEREF _Toc186375503 \h </w:instrText>
            </w:r>
            <w:r>
              <w:rPr>
                <w:noProof/>
                <w:webHidden/>
              </w:rPr>
            </w:r>
            <w:r>
              <w:rPr>
                <w:noProof/>
                <w:webHidden/>
              </w:rPr>
              <w:fldChar w:fldCharType="separate"/>
            </w:r>
            <w:r>
              <w:rPr>
                <w:noProof/>
                <w:webHidden/>
              </w:rPr>
              <w:t>10</w:t>
            </w:r>
            <w:r>
              <w:rPr>
                <w:noProof/>
                <w:webHidden/>
              </w:rPr>
              <w:fldChar w:fldCharType="end"/>
            </w:r>
          </w:hyperlink>
        </w:p>
        <w:p w14:paraId="7B86632A" w14:textId="620B2BE5"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04" w:history="1">
            <w:r w:rsidRPr="000812CF">
              <w:rPr>
                <w:rStyle w:val="Hyperlink"/>
                <w:noProof/>
              </w:rPr>
              <w:t>2.3.</w:t>
            </w:r>
            <w:r>
              <w:rPr>
                <w:rFonts w:eastAsiaTheme="minorEastAsia"/>
                <w:i w:val="0"/>
                <w:iCs w:val="0"/>
                <w:noProof/>
                <w:sz w:val="24"/>
                <w:szCs w:val="24"/>
                <w:lang w:eastAsia="nl-NL"/>
              </w:rPr>
              <w:tab/>
            </w:r>
            <w:r w:rsidRPr="000812CF">
              <w:rPr>
                <w:rStyle w:val="Hyperlink"/>
                <w:noProof/>
              </w:rPr>
              <w:t>Het gebruik van elektronische algemene voorwaarden (lid 2 en 3)</w:t>
            </w:r>
            <w:r>
              <w:rPr>
                <w:noProof/>
                <w:webHidden/>
              </w:rPr>
              <w:tab/>
            </w:r>
            <w:r>
              <w:rPr>
                <w:noProof/>
                <w:webHidden/>
              </w:rPr>
              <w:fldChar w:fldCharType="begin"/>
            </w:r>
            <w:r>
              <w:rPr>
                <w:noProof/>
                <w:webHidden/>
              </w:rPr>
              <w:instrText xml:space="preserve"> PAGEREF _Toc186375504 \h </w:instrText>
            </w:r>
            <w:r>
              <w:rPr>
                <w:noProof/>
                <w:webHidden/>
              </w:rPr>
            </w:r>
            <w:r>
              <w:rPr>
                <w:noProof/>
                <w:webHidden/>
              </w:rPr>
              <w:fldChar w:fldCharType="separate"/>
            </w:r>
            <w:r>
              <w:rPr>
                <w:noProof/>
                <w:webHidden/>
              </w:rPr>
              <w:t>12</w:t>
            </w:r>
            <w:r>
              <w:rPr>
                <w:noProof/>
                <w:webHidden/>
              </w:rPr>
              <w:fldChar w:fldCharType="end"/>
            </w:r>
          </w:hyperlink>
        </w:p>
        <w:p w14:paraId="6D9747B4" w14:textId="0F20643B"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05" w:history="1">
            <w:r w:rsidRPr="000812CF">
              <w:rPr>
                <w:rStyle w:val="Hyperlink"/>
                <w:noProof/>
              </w:rPr>
              <w:t>2.4.</w:t>
            </w:r>
            <w:r>
              <w:rPr>
                <w:rFonts w:eastAsiaTheme="minorEastAsia"/>
                <w:i w:val="0"/>
                <w:iCs w:val="0"/>
                <w:noProof/>
                <w:sz w:val="24"/>
                <w:szCs w:val="24"/>
                <w:lang w:eastAsia="nl-NL"/>
              </w:rPr>
              <w:tab/>
            </w:r>
            <w:r w:rsidRPr="000812CF">
              <w:rPr>
                <w:rStyle w:val="Hyperlink"/>
                <w:noProof/>
              </w:rPr>
              <w:t>Tussenconclusie</w:t>
            </w:r>
            <w:r>
              <w:rPr>
                <w:noProof/>
                <w:webHidden/>
              </w:rPr>
              <w:tab/>
            </w:r>
            <w:r>
              <w:rPr>
                <w:noProof/>
                <w:webHidden/>
              </w:rPr>
              <w:fldChar w:fldCharType="begin"/>
            </w:r>
            <w:r>
              <w:rPr>
                <w:noProof/>
                <w:webHidden/>
              </w:rPr>
              <w:instrText xml:space="preserve"> PAGEREF _Toc186375505 \h </w:instrText>
            </w:r>
            <w:r>
              <w:rPr>
                <w:noProof/>
                <w:webHidden/>
              </w:rPr>
            </w:r>
            <w:r>
              <w:rPr>
                <w:noProof/>
                <w:webHidden/>
              </w:rPr>
              <w:fldChar w:fldCharType="separate"/>
            </w:r>
            <w:r>
              <w:rPr>
                <w:noProof/>
                <w:webHidden/>
              </w:rPr>
              <w:t>16</w:t>
            </w:r>
            <w:r>
              <w:rPr>
                <w:noProof/>
                <w:webHidden/>
              </w:rPr>
              <w:fldChar w:fldCharType="end"/>
            </w:r>
          </w:hyperlink>
        </w:p>
        <w:p w14:paraId="5FA6B18F" w14:textId="6B2B7514" w:rsidR="00CA4440" w:rsidRDefault="00CA4440">
          <w:pPr>
            <w:pStyle w:val="Inhopg1"/>
            <w:tabs>
              <w:tab w:val="left" w:pos="480"/>
              <w:tab w:val="right" w:leader="dot" w:pos="9062"/>
            </w:tabs>
            <w:rPr>
              <w:rFonts w:eastAsiaTheme="minorEastAsia"/>
              <w:b w:val="0"/>
              <w:bCs w:val="0"/>
              <w:noProof/>
              <w:sz w:val="24"/>
              <w:szCs w:val="24"/>
              <w:lang w:eastAsia="nl-NL"/>
            </w:rPr>
          </w:pPr>
          <w:hyperlink w:anchor="_Toc186375506" w:history="1">
            <w:r w:rsidRPr="000812CF">
              <w:rPr>
                <w:rStyle w:val="Hyperlink"/>
                <w:noProof/>
              </w:rPr>
              <w:t>3.</w:t>
            </w:r>
            <w:r>
              <w:rPr>
                <w:rFonts w:eastAsiaTheme="minorEastAsia"/>
                <w:b w:val="0"/>
                <w:bCs w:val="0"/>
                <w:noProof/>
                <w:sz w:val="24"/>
                <w:szCs w:val="24"/>
                <w:lang w:eastAsia="nl-NL"/>
              </w:rPr>
              <w:tab/>
            </w:r>
            <w:r w:rsidRPr="000812CF">
              <w:rPr>
                <w:rStyle w:val="Hyperlink"/>
                <w:noProof/>
              </w:rPr>
              <w:t>Hoofdstuk 3 – De regeling van art. 6:230c BW</w:t>
            </w:r>
            <w:r>
              <w:rPr>
                <w:noProof/>
                <w:webHidden/>
              </w:rPr>
              <w:tab/>
            </w:r>
            <w:r>
              <w:rPr>
                <w:noProof/>
                <w:webHidden/>
              </w:rPr>
              <w:fldChar w:fldCharType="begin"/>
            </w:r>
            <w:r>
              <w:rPr>
                <w:noProof/>
                <w:webHidden/>
              </w:rPr>
              <w:instrText xml:space="preserve"> PAGEREF _Toc186375506 \h </w:instrText>
            </w:r>
            <w:r>
              <w:rPr>
                <w:noProof/>
                <w:webHidden/>
              </w:rPr>
            </w:r>
            <w:r>
              <w:rPr>
                <w:noProof/>
                <w:webHidden/>
              </w:rPr>
              <w:fldChar w:fldCharType="separate"/>
            </w:r>
            <w:r>
              <w:rPr>
                <w:noProof/>
                <w:webHidden/>
              </w:rPr>
              <w:t>17</w:t>
            </w:r>
            <w:r>
              <w:rPr>
                <w:noProof/>
                <w:webHidden/>
              </w:rPr>
              <w:fldChar w:fldCharType="end"/>
            </w:r>
          </w:hyperlink>
        </w:p>
        <w:p w14:paraId="18F6ADD1" w14:textId="0D871D4F"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07" w:history="1">
            <w:r w:rsidRPr="000812CF">
              <w:rPr>
                <w:rStyle w:val="Hyperlink"/>
                <w:noProof/>
              </w:rPr>
              <w:t>3.1.</w:t>
            </w:r>
            <w:r>
              <w:rPr>
                <w:rFonts w:eastAsiaTheme="minorEastAsia"/>
                <w:i w:val="0"/>
                <w:iCs w:val="0"/>
                <w:noProof/>
                <w:sz w:val="24"/>
                <w:szCs w:val="24"/>
                <w:lang w:eastAsia="nl-NL"/>
              </w:rPr>
              <w:tab/>
            </w:r>
            <w:r w:rsidRPr="000812CF">
              <w:rPr>
                <w:rStyle w:val="Hyperlink"/>
                <w:noProof/>
              </w:rPr>
              <w:t>Het doel en de implementatie van de Dienstenrichtlijn</w:t>
            </w:r>
            <w:r>
              <w:rPr>
                <w:noProof/>
                <w:webHidden/>
              </w:rPr>
              <w:tab/>
            </w:r>
            <w:r>
              <w:rPr>
                <w:noProof/>
                <w:webHidden/>
              </w:rPr>
              <w:fldChar w:fldCharType="begin"/>
            </w:r>
            <w:r>
              <w:rPr>
                <w:noProof/>
                <w:webHidden/>
              </w:rPr>
              <w:instrText xml:space="preserve"> PAGEREF _Toc186375507 \h </w:instrText>
            </w:r>
            <w:r>
              <w:rPr>
                <w:noProof/>
                <w:webHidden/>
              </w:rPr>
            </w:r>
            <w:r>
              <w:rPr>
                <w:noProof/>
                <w:webHidden/>
              </w:rPr>
              <w:fldChar w:fldCharType="separate"/>
            </w:r>
            <w:r>
              <w:rPr>
                <w:noProof/>
                <w:webHidden/>
              </w:rPr>
              <w:t>17</w:t>
            </w:r>
            <w:r>
              <w:rPr>
                <w:noProof/>
                <w:webHidden/>
              </w:rPr>
              <w:fldChar w:fldCharType="end"/>
            </w:r>
          </w:hyperlink>
        </w:p>
        <w:p w14:paraId="4A76EFDC" w14:textId="63C3B26A"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08" w:history="1">
            <w:r w:rsidRPr="000812CF">
              <w:rPr>
                <w:rStyle w:val="Hyperlink"/>
                <w:noProof/>
              </w:rPr>
              <w:t>3.2.</w:t>
            </w:r>
            <w:r>
              <w:rPr>
                <w:rFonts w:eastAsiaTheme="minorEastAsia"/>
                <w:i w:val="0"/>
                <w:iCs w:val="0"/>
                <w:noProof/>
                <w:sz w:val="24"/>
                <w:szCs w:val="24"/>
                <w:lang w:eastAsia="nl-NL"/>
              </w:rPr>
              <w:tab/>
            </w:r>
            <w:r w:rsidRPr="000812CF">
              <w:rPr>
                <w:rStyle w:val="Hyperlink"/>
                <w:noProof/>
              </w:rPr>
              <w:t>Wat is een dienst(verrichter)?</w:t>
            </w:r>
            <w:r>
              <w:rPr>
                <w:noProof/>
                <w:webHidden/>
              </w:rPr>
              <w:tab/>
            </w:r>
            <w:r>
              <w:rPr>
                <w:noProof/>
                <w:webHidden/>
              </w:rPr>
              <w:fldChar w:fldCharType="begin"/>
            </w:r>
            <w:r>
              <w:rPr>
                <w:noProof/>
                <w:webHidden/>
              </w:rPr>
              <w:instrText xml:space="preserve"> PAGEREF _Toc186375508 \h </w:instrText>
            </w:r>
            <w:r>
              <w:rPr>
                <w:noProof/>
                <w:webHidden/>
              </w:rPr>
            </w:r>
            <w:r>
              <w:rPr>
                <w:noProof/>
                <w:webHidden/>
              </w:rPr>
              <w:fldChar w:fldCharType="separate"/>
            </w:r>
            <w:r>
              <w:rPr>
                <w:noProof/>
                <w:webHidden/>
              </w:rPr>
              <w:t>18</w:t>
            </w:r>
            <w:r>
              <w:rPr>
                <w:noProof/>
                <w:webHidden/>
              </w:rPr>
              <w:fldChar w:fldCharType="end"/>
            </w:r>
          </w:hyperlink>
        </w:p>
        <w:p w14:paraId="4FDCA8F5" w14:textId="2B320FBB"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09" w:history="1">
            <w:r w:rsidRPr="000812CF">
              <w:rPr>
                <w:rStyle w:val="Hyperlink"/>
                <w:noProof/>
              </w:rPr>
              <w:t>3.3.</w:t>
            </w:r>
            <w:r>
              <w:rPr>
                <w:rFonts w:eastAsiaTheme="minorEastAsia"/>
                <w:i w:val="0"/>
                <w:iCs w:val="0"/>
                <w:noProof/>
                <w:sz w:val="24"/>
                <w:szCs w:val="24"/>
                <w:lang w:eastAsia="nl-NL"/>
              </w:rPr>
              <w:tab/>
            </w:r>
            <w:r w:rsidRPr="000812CF">
              <w:rPr>
                <w:rStyle w:val="Hyperlink"/>
                <w:noProof/>
              </w:rPr>
              <w:t>De methoden om te voldoen aan de informatieplicht</w:t>
            </w:r>
            <w:r>
              <w:rPr>
                <w:noProof/>
                <w:webHidden/>
              </w:rPr>
              <w:tab/>
            </w:r>
            <w:r>
              <w:rPr>
                <w:noProof/>
                <w:webHidden/>
              </w:rPr>
              <w:fldChar w:fldCharType="begin"/>
            </w:r>
            <w:r>
              <w:rPr>
                <w:noProof/>
                <w:webHidden/>
              </w:rPr>
              <w:instrText xml:space="preserve"> PAGEREF _Toc186375509 \h </w:instrText>
            </w:r>
            <w:r>
              <w:rPr>
                <w:noProof/>
                <w:webHidden/>
              </w:rPr>
            </w:r>
            <w:r>
              <w:rPr>
                <w:noProof/>
                <w:webHidden/>
              </w:rPr>
              <w:fldChar w:fldCharType="separate"/>
            </w:r>
            <w:r>
              <w:rPr>
                <w:noProof/>
                <w:webHidden/>
              </w:rPr>
              <w:t>20</w:t>
            </w:r>
            <w:r>
              <w:rPr>
                <w:noProof/>
                <w:webHidden/>
              </w:rPr>
              <w:fldChar w:fldCharType="end"/>
            </w:r>
          </w:hyperlink>
        </w:p>
        <w:p w14:paraId="5F4A9745" w14:textId="36944522"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0" w:history="1">
            <w:r w:rsidRPr="000812CF">
              <w:rPr>
                <w:rStyle w:val="Hyperlink"/>
                <w:noProof/>
              </w:rPr>
              <w:t>3.4.</w:t>
            </w:r>
            <w:r>
              <w:rPr>
                <w:rFonts w:eastAsiaTheme="minorEastAsia"/>
                <w:i w:val="0"/>
                <w:iCs w:val="0"/>
                <w:noProof/>
                <w:sz w:val="24"/>
                <w:szCs w:val="24"/>
                <w:lang w:eastAsia="nl-NL"/>
              </w:rPr>
              <w:tab/>
            </w:r>
            <w:r w:rsidRPr="000812CF">
              <w:rPr>
                <w:rStyle w:val="Hyperlink"/>
                <w:noProof/>
              </w:rPr>
              <w:t>De versoepelende werking van art. 6:230e BW</w:t>
            </w:r>
            <w:r>
              <w:rPr>
                <w:noProof/>
                <w:webHidden/>
              </w:rPr>
              <w:tab/>
            </w:r>
            <w:r>
              <w:rPr>
                <w:noProof/>
                <w:webHidden/>
              </w:rPr>
              <w:fldChar w:fldCharType="begin"/>
            </w:r>
            <w:r>
              <w:rPr>
                <w:noProof/>
                <w:webHidden/>
              </w:rPr>
              <w:instrText xml:space="preserve"> PAGEREF _Toc186375510 \h </w:instrText>
            </w:r>
            <w:r>
              <w:rPr>
                <w:noProof/>
                <w:webHidden/>
              </w:rPr>
            </w:r>
            <w:r>
              <w:rPr>
                <w:noProof/>
                <w:webHidden/>
              </w:rPr>
              <w:fldChar w:fldCharType="separate"/>
            </w:r>
            <w:r>
              <w:rPr>
                <w:noProof/>
                <w:webHidden/>
              </w:rPr>
              <w:t>23</w:t>
            </w:r>
            <w:r>
              <w:rPr>
                <w:noProof/>
                <w:webHidden/>
              </w:rPr>
              <w:fldChar w:fldCharType="end"/>
            </w:r>
          </w:hyperlink>
        </w:p>
        <w:p w14:paraId="4B9A0ADB" w14:textId="3094DE48"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1" w:history="1">
            <w:r w:rsidRPr="000812CF">
              <w:rPr>
                <w:rStyle w:val="Hyperlink"/>
                <w:noProof/>
              </w:rPr>
              <w:t>3.5.</w:t>
            </w:r>
            <w:r>
              <w:rPr>
                <w:rFonts w:eastAsiaTheme="minorEastAsia"/>
                <w:i w:val="0"/>
                <w:iCs w:val="0"/>
                <w:noProof/>
                <w:sz w:val="24"/>
                <w:szCs w:val="24"/>
                <w:lang w:eastAsia="nl-NL"/>
              </w:rPr>
              <w:tab/>
            </w:r>
            <w:r w:rsidRPr="000812CF">
              <w:rPr>
                <w:rStyle w:val="Hyperlink"/>
                <w:noProof/>
              </w:rPr>
              <w:t>Tussenconclusie</w:t>
            </w:r>
            <w:r>
              <w:rPr>
                <w:noProof/>
                <w:webHidden/>
              </w:rPr>
              <w:tab/>
            </w:r>
            <w:r>
              <w:rPr>
                <w:noProof/>
                <w:webHidden/>
              </w:rPr>
              <w:fldChar w:fldCharType="begin"/>
            </w:r>
            <w:r>
              <w:rPr>
                <w:noProof/>
                <w:webHidden/>
              </w:rPr>
              <w:instrText xml:space="preserve"> PAGEREF _Toc186375511 \h </w:instrText>
            </w:r>
            <w:r>
              <w:rPr>
                <w:noProof/>
                <w:webHidden/>
              </w:rPr>
            </w:r>
            <w:r>
              <w:rPr>
                <w:noProof/>
                <w:webHidden/>
              </w:rPr>
              <w:fldChar w:fldCharType="separate"/>
            </w:r>
            <w:r>
              <w:rPr>
                <w:noProof/>
                <w:webHidden/>
              </w:rPr>
              <w:t>24</w:t>
            </w:r>
            <w:r>
              <w:rPr>
                <w:noProof/>
                <w:webHidden/>
              </w:rPr>
              <w:fldChar w:fldCharType="end"/>
            </w:r>
          </w:hyperlink>
        </w:p>
        <w:p w14:paraId="6F9F56C3" w14:textId="06BBC2BA" w:rsidR="00CA4440" w:rsidRDefault="00CA4440">
          <w:pPr>
            <w:pStyle w:val="Inhopg1"/>
            <w:tabs>
              <w:tab w:val="left" w:pos="480"/>
              <w:tab w:val="right" w:leader="dot" w:pos="9062"/>
            </w:tabs>
            <w:rPr>
              <w:rFonts w:eastAsiaTheme="minorEastAsia"/>
              <w:b w:val="0"/>
              <w:bCs w:val="0"/>
              <w:noProof/>
              <w:sz w:val="24"/>
              <w:szCs w:val="24"/>
              <w:lang w:eastAsia="nl-NL"/>
            </w:rPr>
          </w:pPr>
          <w:hyperlink w:anchor="_Toc186375512" w:history="1">
            <w:r w:rsidRPr="000812CF">
              <w:rPr>
                <w:rStyle w:val="Hyperlink"/>
                <w:noProof/>
              </w:rPr>
              <w:t>4.</w:t>
            </w:r>
            <w:r>
              <w:rPr>
                <w:rFonts w:eastAsiaTheme="minorEastAsia"/>
                <w:b w:val="0"/>
                <w:bCs w:val="0"/>
                <w:noProof/>
                <w:sz w:val="24"/>
                <w:szCs w:val="24"/>
                <w:lang w:eastAsia="nl-NL"/>
              </w:rPr>
              <w:tab/>
            </w:r>
            <w:r w:rsidRPr="000812CF">
              <w:rPr>
                <w:rStyle w:val="Hyperlink"/>
                <w:noProof/>
              </w:rPr>
              <w:t>Hoofdstuk 4 – verschillen tussen en kritiek op art. 6:230c en art. 6:234 BW</w:t>
            </w:r>
            <w:r>
              <w:rPr>
                <w:noProof/>
                <w:webHidden/>
              </w:rPr>
              <w:tab/>
            </w:r>
            <w:r>
              <w:rPr>
                <w:noProof/>
                <w:webHidden/>
              </w:rPr>
              <w:fldChar w:fldCharType="begin"/>
            </w:r>
            <w:r>
              <w:rPr>
                <w:noProof/>
                <w:webHidden/>
              </w:rPr>
              <w:instrText xml:space="preserve"> PAGEREF _Toc186375512 \h </w:instrText>
            </w:r>
            <w:r>
              <w:rPr>
                <w:noProof/>
                <w:webHidden/>
              </w:rPr>
            </w:r>
            <w:r>
              <w:rPr>
                <w:noProof/>
                <w:webHidden/>
              </w:rPr>
              <w:fldChar w:fldCharType="separate"/>
            </w:r>
            <w:r>
              <w:rPr>
                <w:noProof/>
                <w:webHidden/>
              </w:rPr>
              <w:t>25</w:t>
            </w:r>
            <w:r>
              <w:rPr>
                <w:noProof/>
                <w:webHidden/>
              </w:rPr>
              <w:fldChar w:fldCharType="end"/>
            </w:r>
          </w:hyperlink>
        </w:p>
        <w:p w14:paraId="4ED0638F" w14:textId="1CCA5A76"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3" w:history="1">
            <w:r w:rsidRPr="000812CF">
              <w:rPr>
                <w:rStyle w:val="Hyperlink"/>
                <w:noProof/>
              </w:rPr>
              <w:t>4.1.</w:t>
            </w:r>
            <w:r>
              <w:rPr>
                <w:rFonts w:eastAsiaTheme="minorEastAsia"/>
                <w:i w:val="0"/>
                <w:iCs w:val="0"/>
                <w:noProof/>
                <w:sz w:val="24"/>
                <w:szCs w:val="24"/>
                <w:lang w:eastAsia="nl-NL"/>
              </w:rPr>
              <w:tab/>
            </w:r>
            <w:r w:rsidRPr="000812CF">
              <w:rPr>
                <w:rStyle w:val="Hyperlink"/>
                <w:noProof/>
              </w:rPr>
              <w:t>Praktische verschillen tussen de informatieplichten voor algemene voorwaarden in Nederland</w:t>
            </w:r>
            <w:r>
              <w:rPr>
                <w:noProof/>
                <w:webHidden/>
              </w:rPr>
              <w:tab/>
            </w:r>
            <w:r>
              <w:rPr>
                <w:noProof/>
                <w:webHidden/>
              </w:rPr>
              <w:fldChar w:fldCharType="begin"/>
            </w:r>
            <w:r>
              <w:rPr>
                <w:noProof/>
                <w:webHidden/>
              </w:rPr>
              <w:instrText xml:space="preserve"> PAGEREF _Toc186375513 \h </w:instrText>
            </w:r>
            <w:r>
              <w:rPr>
                <w:noProof/>
                <w:webHidden/>
              </w:rPr>
            </w:r>
            <w:r>
              <w:rPr>
                <w:noProof/>
                <w:webHidden/>
              </w:rPr>
              <w:fldChar w:fldCharType="separate"/>
            </w:r>
            <w:r>
              <w:rPr>
                <w:noProof/>
                <w:webHidden/>
              </w:rPr>
              <w:t>25</w:t>
            </w:r>
            <w:r>
              <w:rPr>
                <w:noProof/>
                <w:webHidden/>
              </w:rPr>
              <w:fldChar w:fldCharType="end"/>
            </w:r>
          </w:hyperlink>
        </w:p>
        <w:p w14:paraId="2B88545F" w14:textId="598B18B4"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4" w:history="1">
            <w:r w:rsidRPr="000812CF">
              <w:rPr>
                <w:rStyle w:val="Hyperlink"/>
                <w:noProof/>
              </w:rPr>
              <w:t>4.2.</w:t>
            </w:r>
            <w:r>
              <w:rPr>
                <w:rFonts w:eastAsiaTheme="minorEastAsia"/>
                <w:i w:val="0"/>
                <w:iCs w:val="0"/>
                <w:noProof/>
                <w:sz w:val="24"/>
                <w:szCs w:val="24"/>
                <w:lang w:eastAsia="nl-NL"/>
              </w:rPr>
              <w:tab/>
            </w:r>
            <w:r w:rsidRPr="000812CF">
              <w:rPr>
                <w:rStyle w:val="Hyperlink"/>
                <w:noProof/>
              </w:rPr>
              <w:t>Problematiek van artikel 6:234 BW</w:t>
            </w:r>
            <w:r>
              <w:rPr>
                <w:noProof/>
                <w:webHidden/>
              </w:rPr>
              <w:tab/>
            </w:r>
            <w:r>
              <w:rPr>
                <w:noProof/>
                <w:webHidden/>
              </w:rPr>
              <w:fldChar w:fldCharType="begin"/>
            </w:r>
            <w:r>
              <w:rPr>
                <w:noProof/>
                <w:webHidden/>
              </w:rPr>
              <w:instrText xml:space="preserve"> PAGEREF _Toc186375514 \h </w:instrText>
            </w:r>
            <w:r>
              <w:rPr>
                <w:noProof/>
                <w:webHidden/>
              </w:rPr>
            </w:r>
            <w:r>
              <w:rPr>
                <w:noProof/>
                <w:webHidden/>
              </w:rPr>
              <w:fldChar w:fldCharType="separate"/>
            </w:r>
            <w:r>
              <w:rPr>
                <w:noProof/>
                <w:webHidden/>
              </w:rPr>
              <w:t>26</w:t>
            </w:r>
            <w:r>
              <w:rPr>
                <w:noProof/>
                <w:webHidden/>
              </w:rPr>
              <w:fldChar w:fldCharType="end"/>
            </w:r>
          </w:hyperlink>
        </w:p>
        <w:p w14:paraId="281977D0" w14:textId="148D55D7"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5" w:history="1">
            <w:r w:rsidRPr="000812CF">
              <w:rPr>
                <w:rStyle w:val="Hyperlink"/>
                <w:noProof/>
              </w:rPr>
              <w:t>4.3.</w:t>
            </w:r>
            <w:r>
              <w:rPr>
                <w:rFonts w:eastAsiaTheme="minorEastAsia"/>
                <w:i w:val="0"/>
                <w:iCs w:val="0"/>
                <w:noProof/>
                <w:sz w:val="24"/>
                <w:szCs w:val="24"/>
                <w:lang w:eastAsia="nl-NL"/>
              </w:rPr>
              <w:tab/>
            </w:r>
            <w:r w:rsidRPr="000812CF">
              <w:rPr>
                <w:rStyle w:val="Hyperlink"/>
                <w:noProof/>
              </w:rPr>
              <w:t>Problematiek van artikel 6:230c BW</w:t>
            </w:r>
            <w:r>
              <w:rPr>
                <w:noProof/>
                <w:webHidden/>
              </w:rPr>
              <w:tab/>
            </w:r>
            <w:r>
              <w:rPr>
                <w:noProof/>
                <w:webHidden/>
              </w:rPr>
              <w:fldChar w:fldCharType="begin"/>
            </w:r>
            <w:r>
              <w:rPr>
                <w:noProof/>
                <w:webHidden/>
              </w:rPr>
              <w:instrText xml:space="preserve"> PAGEREF _Toc186375515 \h </w:instrText>
            </w:r>
            <w:r>
              <w:rPr>
                <w:noProof/>
                <w:webHidden/>
              </w:rPr>
            </w:r>
            <w:r>
              <w:rPr>
                <w:noProof/>
                <w:webHidden/>
              </w:rPr>
              <w:fldChar w:fldCharType="separate"/>
            </w:r>
            <w:r>
              <w:rPr>
                <w:noProof/>
                <w:webHidden/>
              </w:rPr>
              <w:t>28</w:t>
            </w:r>
            <w:r>
              <w:rPr>
                <w:noProof/>
                <w:webHidden/>
              </w:rPr>
              <w:fldChar w:fldCharType="end"/>
            </w:r>
          </w:hyperlink>
        </w:p>
        <w:p w14:paraId="74161BFC" w14:textId="575744F1"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6" w:history="1">
            <w:r w:rsidRPr="000812CF">
              <w:rPr>
                <w:rStyle w:val="Hyperlink"/>
                <w:noProof/>
              </w:rPr>
              <w:t>4.4.</w:t>
            </w:r>
            <w:r>
              <w:rPr>
                <w:rFonts w:eastAsiaTheme="minorEastAsia"/>
                <w:i w:val="0"/>
                <w:iCs w:val="0"/>
                <w:noProof/>
                <w:sz w:val="24"/>
                <w:szCs w:val="24"/>
                <w:lang w:eastAsia="nl-NL"/>
              </w:rPr>
              <w:tab/>
            </w:r>
            <w:r w:rsidRPr="000812CF">
              <w:rPr>
                <w:rStyle w:val="Hyperlink"/>
                <w:noProof/>
              </w:rPr>
              <w:t>Sancties op niet naleven van de terhandstellingsplicht</w:t>
            </w:r>
            <w:r>
              <w:rPr>
                <w:noProof/>
                <w:webHidden/>
              </w:rPr>
              <w:tab/>
            </w:r>
            <w:r>
              <w:rPr>
                <w:noProof/>
                <w:webHidden/>
              </w:rPr>
              <w:fldChar w:fldCharType="begin"/>
            </w:r>
            <w:r>
              <w:rPr>
                <w:noProof/>
                <w:webHidden/>
              </w:rPr>
              <w:instrText xml:space="preserve"> PAGEREF _Toc186375516 \h </w:instrText>
            </w:r>
            <w:r>
              <w:rPr>
                <w:noProof/>
                <w:webHidden/>
              </w:rPr>
            </w:r>
            <w:r>
              <w:rPr>
                <w:noProof/>
                <w:webHidden/>
              </w:rPr>
              <w:fldChar w:fldCharType="separate"/>
            </w:r>
            <w:r>
              <w:rPr>
                <w:noProof/>
                <w:webHidden/>
              </w:rPr>
              <w:t>28</w:t>
            </w:r>
            <w:r>
              <w:rPr>
                <w:noProof/>
                <w:webHidden/>
              </w:rPr>
              <w:fldChar w:fldCharType="end"/>
            </w:r>
          </w:hyperlink>
        </w:p>
        <w:p w14:paraId="0F3C7FF2" w14:textId="4AA143BF"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7" w:history="1">
            <w:r w:rsidRPr="000812CF">
              <w:rPr>
                <w:rStyle w:val="Hyperlink"/>
                <w:noProof/>
              </w:rPr>
              <w:t>4.5.</w:t>
            </w:r>
            <w:r>
              <w:rPr>
                <w:rFonts w:eastAsiaTheme="minorEastAsia"/>
                <w:i w:val="0"/>
                <w:iCs w:val="0"/>
                <w:noProof/>
                <w:sz w:val="24"/>
                <w:szCs w:val="24"/>
                <w:lang w:eastAsia="nl-NL"/>
              </w:rPr>
              <w:tab/>
            </w:r>
            <w:r w:rsidRPr="000812CF">
              <w:rPr>
                <w:rStyle w:val="Hyperlink"/>
                <w:noProof/>
              </w:rPr>
              <w:t>De uitzondering van grote wederpartijen</w:t>
            </w:r>
            <w:r>
              <w:rPr>
                <w:noProof/>
                <w:webHidden/>
              </w:rPr>
              <w:tab/>
            </w:r>
            <w:r>
              <w:rPr>
                <w:noProof/>
                <w:webHidden/>
              </w:rPr>
              <w:fldChar w:fldCharType="begin"/>
            </w:r>
            <w:r>
              <w:rPr>
                <w:noProof/>
                <w:webHidden/>
              </w:rPr>
              <w:instrText xml:space="preserve"> PAGEREF _Toc186375517 \h </w:instrText>
            </w:r>
            <w:r>
              <w:rPr>
                <w:noProof/>
                <w:webHidden/>
              </w:rPr>
            </w:r>
            <w:r>
              <w:rPr>
                <w:noProof/>
                <w:webHidden/>
              </w:rPr>
              <w:fldChar w:fldCharType="separate"/>
            </w:r>
            <w:r>
              <w:rPr>
                <w:noProof/>
                <w:webHidden/>
              </w:rPr>
              <w:t>29</w:t>
            </w:r>
            <w:r>
              <w:rPr>
                <w:noProof/>
                <w:webHidden/>
              </w:rPr>
              <w:fldChar w:fldCharType="end"/>
            </w:r>
          </w:hyperlink>
        </w:p>
        <w:p w14:paraId="1F0521E3" w14:textId="199DCA4F"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8" w:history="1">
            <w:r w:rsidRPr="000812CF">
              <w:rPr>
                <w:rStyle w:val="Hyperlink"/>
                <w:noProof/>
              </w:rPr>
              <w:t>4.6.</w:t>
            </w:r>
            <w:r>
              <w:rPr>
                <w:rFonts w:eastAsiaTheme="minorEastAsia"/>
                <w:i w:val="0"/>
                <w:iCs w:val="0"/>
                <w:noProof/>
                <w:sz w:val="24"/>
                <w:szCs w:val="24"/>
                <w:lang w:eastAsia="nl-NL"/>
              </w:rPr>
              <w:tab/>
            </w:r>
            <w:r w:rsidRPr="000812CF">
              <w:rPr>
                <w:rStyle w:val="Hyperlink"/>
                <w:noProof/>
              </w:rPr>
              <w:t>De samenloop met de Richtlijn inzake elektronische handel</w:t>
            </w:r>
            <w:r>
              <w:rPr>
                <w:noProof/>
                <w:webHidden/>
              </w:rPr>
              <w:tab/>
            </w:r>
            <w:r>
              <w:rPr>
                <w:noProof/>
                <w:webHidden/>
              </w:rPr>
              <w:fldChar w:fldCharType="begin"/>
            </w:r>
            <w:r>
              <w:rPr>
                <w:noProof/>
                <w:webHidden/>
              </w:rPr>
              <w:instrText xml:space="preserve"> PAGEREF _Toc186375518 \h </w:instrText>
            </w:r>
            <w:r>
              <w:rPr>
                <w:noProof/>
                <w:webHidden/>
              </w:rPr>
            </w:r>
            <w:r>
              <w:rPr>
                <w:noProof/>
                <w:webHidden/>
              </w:rPr>
              <w:fldChar w:fldCharType="separate"/>
            </w:r>
            <w:r>
              <w:rPr>
                <w:noProof/>
                <w:webHidden/>
              </w:rPr>
              <w:t>30</w:t>
            </w:r>
            <w:r>
              <w:rPr>
                <w:noProof/>
                <w:webHidden/>
              </w:rPr>
              <w:fldChar w:fldCharType="end"/>
            </w:r>
          </w:hyperlink>
        </w:p>
        <w:p w14:paraId="22F1B312" w14:textId="6BF9BAEC"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19" w:history="1">
            <w:r w:rsidRPr="000812CF">
              <w:rPr>
                <w:rStyle w:val="Hyperlink"/>
                <w:noProof/>
              </w:rPr>
              <w:t>4.7.</w:t>
            </w:r>
            <w:r>
              <w:rPr>
                <w:rFonts w:eastAsiaTheme="minorEastAsia"/>
                <w:i w:val="0"/>
                <w:iCs w:val="0"/>
                <w:noProof/>
                <w:sz w:val="24"/>
                <w:szCs w:val="24"/>
                <w:lang w:eastAsia="nl-NL"/>
              </w:rPr>
              <w:tab/>
            </w:r>
            <w:r w:rsidRPr="000812CF">
              <w:rPr>
                <w:rStyle w:val="Hyperlink"/>
                <w:noProof/>
              </w:rPr>
              <w:t>Tussenconclusie</w:t>
            </w:r>
            <w:r>
              <w:rPr>
                <w:noProof/>
                <w:webHidden/>
              </w:rPr>
              <w:tab/>
            </w:r>
            <w:r>
              <w:rPr>
                <w:noProof/>
                <w:webHidden/>
              </w:rPr>
              <w:fldChar w:fldCharType="begin"/>
            </w:r>
            <w:r>
              <w:rPr>
                <w:noProof/>
                <w:webHidden/>
              </w:rPr>
              <w:instrText xml:space="preserve"> PAGEREF _Toc186375519 \h </w:instrText>
            </w:r>
            <w:r>
              <w:rPr>
                <w:noProof/>
                <w:webHidden/>
              </w:rPr>
            </w:r>
            <w:r>
              <w:rPr>
                <w:noProof/>
                <w:webHidden/>
              </w:rPr>
              <w:fldChar w:fldCharType="separate"/>
            </w:r>
            <w:r>
              <w:rPr>
                <w:noProof/>
                <w:webHidden/>
              </w:rPr>
              <w:t>31</w:t>
            </w:r>
            <w:r>
              <w:rPr>
                <w:noProof/>
                <w:webHidden/>
              </w:rPr>
              <w:fldChar w:fldCharType="end"/>
            </w:r>
          </w:hyperlink>
        </w:p>
        <w:p w14:paraId="2D6F7675" w14:textId="00765FA6" w:rsidR="00CA4440" w:rsidRDefault="00CA4440">
          <w:pPr>
            <w:pStyle w:val="Inhopg1"/>
            <w:tabs>
              <w:tab w:val="left" w:pos="480"/>
              <w:tab w:val="right" w:leader="dot" w:pos="9062"/>
            </w:tabs>
            <w:rPr>
              <w:rFonts w:eastAsiaTheme="minorEastAsia"/>
              <w:b w:val="0"/>
              <w:bCs w:val="0"/>
              <w:noProof/>
              <w:sz w:val="24"/>
              <w:szCs w:val="24"/>
              <w:lang w:eastAsia="nl-NL"/>
            </w:rPr>
          </w:pPr>
          <w:hyperlink w:anchor="_Toc186375520" w:history="1">
            <w:r w:rsidRPr="000812CF">
              <w:rPr>
                <w:rStyle w:val="Hyperlink"/>
                <w:noProof/>
              </w:rPr>
              <w:t>5.</w:t>
            </w:r>
            <w:r>
              <w:rPr>
                <w:rFonts w:eastAsiaTheme="minorEastAsia"/>
                <w:b w:val="0"/>
                <w:bCs w:val="0"/>
                <w:noProof/>
                <w:sz w:val="24"/>
                <w:szCs w:val="24"/>
                <w:lang w:eastAsia="nl-NL"/>
              </w:rPr>
              <w:tab/>
            </w:r>
            <w:r w:rsidRPr="000812CF">
              <w:rPr>
                <w:rStyle w:val="Hyperlink"/>
                <w:noProof/>
              </w:rPr>
              <w:t>Hoofdstuk 5 – Rechtsvergelijking met België</w:t>
            </w:r>
            <w:r>
              <w:rPr>
                <w:noProof/>
                <w:webHidden/>
              </w:rPr>
              <w:tab/>
            </w:r>
            <w:r>
              <w:rPr>
                <w:noProof/>
                <w:webHidden/>
              </w:rPr>
              <w:fldChar w:fldCharType="begin"/>
            </w:r>
            <w:r>
              <w:rPr>
                <w:noProof/>
                <w:webHidden/>
              </w:rPr>
              <w:instrText xml:space="preserve"> PAGEREF _Toc186375520 \h </w:instrText>
            </w:r>
            <w:r>
              <w:rPr>
                <w:noProof/>
                <w:webHidden/>
              </w:rPr>
            </w:r>
            <w:r>
              <w:rPr>
                <w:noProof/>
                <w:webHidden/>
              </w:rPr>
              <w:fldChar w:fldCharType="separate"/>
            </w:r>
            <w:r>
              <w:rPr>
                <w:noProof/>
                <w:webHidden/>
              </w:rPr>
              <w:t>31</w:t>
            </w:r>
            <w:r>
              <w:rPr>
                <w:noProof/>
                <w:webHidden/>
              </w:rPr>
              <w:fldChar w:fldCharType="end"/>
            </w:r>
          </w:hyperlink>
        </w:p>
        <w:p w14:paraId="282033D5" w14:textId="1B48B3AE"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1" w:history="1">
            <w:r w:rsidRPr="000812CF">
              <w:rPr>
                <w:rStyle w:val="Hyperlink"/>
                <w:noProof/>
              </w:rPr>
              <w:t>5.1.</w:t>
            </w:r>
            <w:r>
              <w:rPr>
                <w:rFonts w:eastAsiaTheme="minorEastAsia"/>
                <w:i w:val="0"/>
                <w:iCs w:val="0"/>
                <w:noProof/>
                <w:sz w:val="24"/>
                <w:szCs w:val="24"/>
                <w:lang w:eastAsia="nl-NL"/>
              </w:rPr>
              <w:tab/>
            </w:r>
            <w:r w:rsidRPr="000812CF">
              <w:rPr>
                <w:rStyle w:val="Hyperlink"/>
                <w:noProof/>
              </w:rPr>
              <w:t>De wettelijke regeling in België</w:t>
            </w:r>
            <w:r>
              <w:rPr>
                <w:noProof/>
                <w:webHidden/>
              </w:rPr>
              <w:tab/>
            </w:r>
            <w:r>
              <w:rPr>
                <w:noProof/>
                <w:webHidden/>
              </w:rPr>
              <w:fldChar w:fldCharType="begin"/>
            </w:r>
            <w:r>
              <w:rPr>
                <w:noProof/>
                <w:webHidden/>
              </w:rPr>
              <w:instrText xml:space="preserve"> PAGEREF _Toc186375521 \h </w:instrText>
            </w:r>
            <w:r>
              <w:rPr>
                <w:noProof/>
                <w:webHidden/>
              </w:rPr>
            </w:r>
            <w:r>
              <w:rPr>
                <w:noProof/>
                <w:webHidden/>
              </w:rPr>
              <w:fldChar w:fldCharType="separate"/>
            </w:r>
            <w:r>
              <w:rPr>
                <w:noProof/>
                <w:webHidden/>
              </w:rPr>
              <w:t>32</w:t>
            </w:r>
            <w:r>
              <w:rPr>
                <w:noProof/>
                <w:webHidden/>
              </w:rPr>
              <w:fldChar w:fldCharType="end"/>
            </w:r>
          </w:hyperlink>
        </w:p>
        <w:p w14:paraId="7671373C" w14:textId="5F9BFE4B"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2" w:history="1">
            <w:r w:rsidRPr="000812CF">
              <w:rPr>
                <w:rStyle w:val="Hyperlink"/>
                <w:noProof/>
              </w:rPr>
              <w:t>5.2.</w:t>
            </w:r>
            <w:r>
              <w:rPr>
                <w:rFonts w:eastAsiaTheme="minorEastAsia"/>
                <w:i w:val="0"/>
                <w:iCs w:val="0"/>
                <w:noProof/>
                <w:sz w:val="24"/>
                <w:szCs w:val="24"/>
                <w:lang w:eastAsia="nl-NL"/>
              </w:rPr>
              <w:tab/>
            </w:r>
            <w:r w:rsidRPr="000812CF">
              <w:rPr>
                <w:rStyle w:val="Hyperlink"/>
                <w:noProof/>
              </w:rPr>
              <w:t>Kennis en aanvaarding van de algemene voorwaarden</w:t>
            </w:r>
            <w:r>
              <w:rPr>
                <w:noProof/>
                <w:webHidden/>
              </w:rPr>
              <w:tab/>
            </w:r>
            <w:r>
              <w:rPr>
                <w:noProof/>
                <w:webHidden/>
              </w:rPr>
              <w:fldChar w:fldCharType="begin"/>
            </w:r>
            <w:r>
              <w:rPr>
                <w:noProof/>
                <w:webHidden/>
              </w:rPr>
              <w:instrText xml:space="preserve"> PAGEREF _Toc186375522 \h </w:instrText>
            </w:r>
            <w:r>
              <w:rPr>
                <w:noProof/>
                <w:webHidden/>
              </w:rPr>
            </w:r>
            <w:r>
              <w:rPr>
                <w:noProof/>
                <w:webHidden/>
              </w:rPr>
              <w:fldChar w:fldCharType="separate"/>
            </w:r>
            <w:r>
              <w:rPr>
                <w:noProof/>
                <w:webHidden/>
              </w:rPr>
              <w:t>33</w:t>
            </w:r>
            <w:r>
              <w:rPr>
                <w:noProof/>
                <w:webHidden/>
              </w:rPr>
              <w:fldChar w:fldCharType="end"/>
            </w:r>
          </w:hyperlink>
        </w:p>
        <w:p w14:paraId="7060F639" w14:textId="78EC7746"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3" w:history="1">
            <w:r w:rsidRPr="000812CF">
              <w:rPr>
                <w:rStyle w:val="Hyperlink"/>
                <w:noProof/>
              </w:rPr>
              <w:t>5.3.</w:t>
            </w:r>
            <w:r>
              <w:rPr>
                <w:rFonts w:eastAsiaTheme="minorEastAsia"/>
                <w:i w:val="0"/>
                <w:iCs w:val="0"/>
                <w:noProof/>
                <w:sz w:val="24"/>
                <w:szCs w:val="24"/>
                <w:lang w:eastAsia="nl-NL"/>
              </w:rPr>
              <w:tab/>
            </w:r>
            <w:r w:rsidRPr="000812CF">
              <w:rPr>
                <w:rStyle w:val="Hyperlink"/>
                <w:noProof/>
              </w:rPr>
              <w:t>Verschillen en overeenkomsten tussen Nederland en België</w:t>
            </w:r>
            <w:r>
              <w:rPr>
                <w:noProof/>
                <w:webHidden/>
              </w:rPr>
              <w:tab/>
            </w:r>
            <w:r>
              <w:rPr>
                <w:noProof/>
                <w:webHidden/>
              </w:rPr>
              <w:fldChar w:fldCharType="begin"/>
            </w:r>
            <w:r>
              <w:rPr>
                <w:noProof/>
                <w:webHidden/>
              </w:rPr>
              <w:instrText xml:space="preserve"> PAGEREF _Toc186375523 \h </w:instrText>
            </w:r>
            <w:r>
              <w:rPr>
                <w:noProof/>
                <w:webHidden/>
              </w:rPr>
            </w:r>
            <w:r>
              <w:rPr>
                <w:noProof/>
                <w:webHidden/>
              </w:rPr>
              <w:fldChar w:fldCharType="separate"/>
            </w:r>
            <w:r>
              <w:rPr>
                <w:noProof/>
                <w:webHidden/>
              </w:rPr>
              <w:t>38</w:t>
            </w:r>
            <w:r>
              <w:rPr>
                <w:noProof/>
                <w:webHidden/>
              </w:rPr>
              <w:fldChar w:fldCharType="end"/>
            </w:r>
          </w:hyperlink>
        </w:p>
        <w:p w14:paraId="52D2EB75" w14:textId="67F4D715"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4" w:history="1">
            <w:r w:rsidRPr="000812CF">
              <w:rPr>
                <w:rStyle w:val="Hyperlink"/>
                <w:noProof/>
              </w:rPr>
              <w:t>5.4.</w:t>
            </w:r>
            <w:r>
              <w:rPr>
                <w:rFonts w:eastAsiaTheme="minorEastAsia"/>
                <w:i w:val="0"/>
                <w:iCs w:val="0"/>
                <w:noProof/>
                <w:sz w:val="24"/>
                <w:szCs w:val="24"/>
                <w:lang w:eastAsia="nl-NL"/>
              </w:rPr>
              <w:tab/>
            </w:r>
            <w:r w:rsidRPr="000812CF">
              <w:rPr>
                <w:rStyle w:val="Hyperlink"/>
                <w:noProof/>
              </w:rPr>
              <w:t>Tussenconclusie</w:t>
            </w:r>
            <w:r>
              <w:rPr>
                <w:noProof/>
                <w:webHidden/>
              </w:rPr>
              <w:tab/>
            </w:r>
            <w:r>
              <w:rPr>
                <w:noProof/>
                <w:webHidden/>
              </w:rPr>
              <w:fldChar w:fldCharType="begin"/>
            </w:r>
            <w:r>
              <w:rPr>
                <w:noProof/>
                <w:webHidden/>
              </w:rPr>
              <w:instrText xml:space="preserve"> PAGEREF _Toc186375524 \h </w:instrText>
            </w:r>
            <w:r>
              <w:rPr>
                <w:noProof/>
                <w:webHidden/>
              </w:rPr>
            </w:r>
            <w:r>
              <w:rPr>
                <w:noProof/>
                <w:webHidden/>
              </w:rPr>
              <w:fldChar w:fldCharType="separate"/>
            </w:r>
            <w:r>
              <w:rPr>
                <w:noProof/>
                <w:webHidden/>
              </w:rPr>
              <w:t>41</w:t>
            </w:r>
            <w:r>
              <w:rPr>
                <w:noProof/>
                <w:webHidden/>
              </w:rPr>
              <w:fldChar w:fldCharType="end"/>
            </w:r>
          </w:hyperlink>
        </w:p>
        <w:p w14:paraId="009FC000" w14:textId="06DA3525" w:rsidR="00CA4440" w:rsidRDefault="00CA4440">
          <w:pPr>
            <w:pStyle w:val="Inhopg1"/>
            <w:tabs>
              <w:tab w:val="left" w:pos="480"/>
              <w:tab w:val="right" w:leader="dot" w:pos="9062"/>
            </w:tabs>
            <w:rPr>
              <w:rFonts w:eastAsiaTheme="minorEastAsia"/>
              <w:b w:val="0"/>
              <w:bCs w:val="0"/>
              <w:noProof/>
              <w:sz w:val="24"/>
              <w:szCs w:val="24"/>
              <w:lang w:eastAsia="nl-NL"/>
            </w:rPr>
          </w:pPr>
          <w:hyperlink w:anchor="_Toc186375525" w:history="1">
            <w:r w:rsidRPr="000812CF">
              <w:rPr>
                <w:rStyle w:val="Hyperlink"/>
                <w:noProof/>
              </w:rPr>
              <w:t>6.</w:t>
            </w:r>
            <w:r>
              <w:rPr>
                <w:rFonts w:eastAsiaTheme="minorEastAsia"/>
                <w:b w:val="0"/>
                <w:bCs w:val="0"/>
                <w:noProof/>
                <w:sz w:val="24"/>
                <w:szCs w:val="24"/>
                <w:lang w:eastAsia="nl-NL"/>
              </w:rPr>
              <w:tab/>
            </w:r>
            <w:r w:rsidRPr="000812CF">
              <w:rPr>
                <w:rStyle w:val="Hyperlink"/>
                <w:noProof/>
              </w:rPr>
              <w:t>Hoofdstuk 6 – Een nieuwe regeling</w:t>
            </w:r>
            <w:r>
              <w:rPr>
                <w:noProof/>
                <w:webHidden/>
              </w:rPr>
              <w:tab/>
            </w:r>
            <w:r>
              <w:rPr>
                <w:noProof/>
                <w:webHidden/>
              </w:rPr>
              <w:fldChar w:fldCharType="begin"/>
            </w:r>
            <w:r>
              <w:rPr>
                <w:noProof/>
                <w:webHidden/>
              </w:rPr>
              <w:instrText xml:space="preserve"> PAGEREF _Toc186375525 \h </w:instrText>
            </w:r>
            <w:r>
              <w:rPr>
                <w:noProof/>
                <w:webHidden/>
              </w:rPr>
            </w:r>
            <w:r>
              <w:rPr>
                <w:noProof/>
                <w:webHidden/>
              </w:rPr>
              <w:fldChar w:fldCharType="separate"/>
            </w:r>
            <w:r>
              <w:rPr>
                <w:noProof/>
                <w:webHidden/>
              </w:rPr>
              <w:t>42</w:t>
            </w:r>
            <w:r>
              <w:rPr>
                <w:noProof/>
                <w:webHidden/>
              </w:rPr>
              <w:fldChar w:fldCharType="end"/>
            </w:r>
          </w:hyperlink>
        </w:p>
        <w:p w14:paraId="0B9560F9" w14:textId="3F85A690"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6" w:history="1">
            <w:r w:rsidRPr="000812CF">
              <w:rPr>
                <w:rStyle w:val="Hyperlink"/>
                <w:noProof/>
              </w:rPr>
              <w:t>6.1.</w:t>
            </w:r>
            <w:r>
              <w:rPr>
                <w:rFonts w:eastAsiaTheme="minorEastAsia"/>
                <w:i w:val="0"/>
                <w:iCs w:val="0"/>
                <w:noProof/>
                <w:sz w:val="24"/>
                <w:szCs w:val="24"/>
                <w:lang w:eastAsia="nl-NL"/>
              </w:rPr>
              <w:tab/>
            </w:r>
            <w:r w:rsidRPr="000812CF">
              <w:rPr>
                <w:rStyle w:val="Hyperlink"/>
                <w:noProof/>
              </w:rPr>
              <w:t>Aanpassingen besproken in de literatuur</w:t>
            </w:r>
            <w:r>
              <w:rPr>
                <w:noProof/>
                <w:webHidden/>
              </w:rPr>
              <w:tab/>
            </w:r>
            <w:r>
              <w:rPr>
                <w:noProof/>
                <w:webHidden/>
              </w:rPr>
              <w:fldChar w:fldCharType="begin"/>
            </w:r>
            <w:r>
              <w:rPr>
                <w:noProof/>
                <w:webHidden/>
              </w:rPr>
              <w:instrText xml:space="preserve"> PAGEREF _Toc186375526 \h </w:instrText>
            </w:r>
            <w:r>
              <w:rPr>
                <w:noProof/>
                <w:webHidden/>
              </w:rPr>
            </w:r>
            <w:r>
              <w:rPr>
                <w:noProof/>
                <w:webHidden/>
              </w:rPr>
              <w:fldChar w:fldCharType="separate"/>
            </w:r>
            <w:r>
              <w:rPr>
                <w:noProof/>
                <w:webHidden/>
              </w:rPr>
              <w:t>43</w:t>
            </w:r>
            <w:r>
              <w:rPr>
                <w:noProof/>
                <w:webHidden/>
              </w:rPr>
              <w:fldChar w:fldCharType="end"/>
            </w:r>
          </w:hyperlink>
        </w:p>
        <w:p w14:paraId="7CB5E0EF" w14:textId="2FC1D4D3"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7" w:history="1">
            <w:r w:rsidRPr="000812CF">
              <w:rPr>
                <w:rStyle w:val="Hyperlink"/>
                <w:noProof/>
              </w:rPr>
              <w:t>6.2.</w:t>
            </w:r>
            <w:r>
              <w:rPr>
                <w:rFonts w:eastAsiaTheme="minorEastAsia"/>
                <w:i w:val="0"/>
                <w:iCs w:val="0"/>
                <w:noProof/>
                <w:sz w:val="24"/>
                <w:szCs w:val="24"/>
                <w:lang w:eastAsia="nl-NL"/>
              </w:rPr>
              <w:tab/>
            </w:r>
            <w:r w:rsidRPr="000812CF">
              <w:rPr>
                <w:rStyle w:val="Hyperlink"/>
                <w:noProof/>
              </w:rPr>
              <w:t>Suggestie voor een nieuwe regeling</w:t>
            </w:r>
            <w:r>
              <w:rPr>
                <w:noProof/>
                <w:webHidden/>
              </w:rPr>
              <w:tab/>
            </w:r>
            <w:r>
              <w:rPr>
                <w:noProof/>
                <w:webHidden/>
              </w:rPr>
              <w:fldChar w:fldCharType="begin"/>
            </w:r>
            <w:r>
              <w:rPr>
                <w:noProof/>
                <w:webHidden/>
              </w:rPr>
              <w:instrText xml:space="preserve"> PAGEREF _Toc186375527 \h </w:instrText>
            </w:r>
            <w:r>
              <w:rPr>
                <w:noProof/>
                <w:webHidden/>
              </w:rPr>
            </w:r>
            <w:r>
              <w:rPr>
                <w:noProof/>
                <w:webHidden/>
              </w:rPr>
              <w:fldChar w:fldCharType="separate"/>
            </w:r>
            <w:r>
              <w:rPr>
                <w:noProof/>
                <w:webHidden/>
              </w:rPr>
              <w:t>45</w:t>
            </w:r>
            <w:r>
              <w:rPr>
                <w:noProof/>
                <w:webHidden/>
              </w:rPr>
              <w:fldChar w:fldCharType="end"/>
            </w:r>
          </w:hyperlink>
        </w:p>
        <w:p w14:paraId="68832A2B" w14:textId="3A5D0064"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8" w:history="1">
            <w:r w:rsidRPr="000812CF">
              <w:rPr>
                <w:rStyle w:val="Hyperlink"/>
                <w:noProof/>
              </w:rPr>
              <w:t>6.3.</w:t>
            </w:r>
            <w:r>
              <w:rPr>
                <w:rFonts w:eastAsiaTheme="minorEastAsia"/>
                <w:i w:val="0"/>
                <w:iCs w:val="0"/>
                <w:noProof/>
                <w:sz w:val="24"/>
                <w:szCs w:val="24"/>
                <w:lang w:eastAsia="nl-NL"/>
              </w:rPr>
              <w:tab/>
            </w:r>
            <w:r w:rsidRPr="000812CF">
              <w:rPr>
                <w:rStyle w:val="Hyperlink"/>
                <w:noProof/>
              </w:rPr>
              <w:t xml:space="preserve"> Toelichting nieuwe regeling</w:t>
            </w:r>
            <w:r>
              <w:rPr>
                <w:noProof/>
                <w:webHidden/>
              </w:rPr>
              <w:tab/>
            </w:r>
            <w:r>
              <w:rPr>
                <w:noProof/>
                <w:webHidden/>
              </w:rPr>
              <w:fldChar w:fldCharType="begin"/>
            </w:r>
            <w:r>
              <w:rPr>
                <w:noProof/>
                <w:webHidden/>
              </w:rPr>
              <w:instrText xml:space="preserve"> PAGEREF _Toc186375528 \h </w:instrText>
            </w:r>
            <w:r>
              <w:rPr>
                <w:noProof/>
                <w:webHidden/>
              </w:rPr>
            </w:r>
            <w:r>
              <w:rPr>
                <w:noProof/>
                <w:webHidden/>
              </w:rPr>
              <w:fldChar w:fldCharType="separate"/>
            </w:r>
            <w:r>
              <w:rPr>
                <w:noProof/>
                <w:webHidden/>
              </w:rPr>
              <w:t>49</w:t>
            </w:r>
            <w:r>
              <w:rPr>
                <w:noProof/>
                <w:webHidden/>
              </w:rPr>
              <w:fldChar w:fldCharType="end"/>
            </w:r>
          </w:hyperlink>
        </w:p>
        <w:p w14:paraId="0AF5A717" w14:textId="47ED4F8F" w:rsidR="00CA4440" w:rsidRDefault="00CA4440">
          <w:pPr>
            <w:pStyle w:val="Inhopg2"/>
            <w:tabs>
              <w:tab w:val="left" w:pos="960"/>
              <w:tab w:val="right" w:leader="dot" w:pos="9062"/>
            </w:tabs>
            <w:rPr>
              <w:rFonts w:eastAsiaTheme="minorEastAsia"/>
              <w:i w:val="0"/>
              <w:iCs w:val="0"/>
              <w:noProof/>
              <w:sz w:val="24"/>
              <w:szCs w:val="24"/>
              <w:lang w:eastAsia="nl-NL"/>
            </w:rPr>
          </w:pPr>
          <w:hyperlink w:anchor="_Toc186375529" w:history="1">
            <w:r w:rsidRPr="000812CF">
              <w:rPr>
                <w:rStyle w:val="Hyperlink"/>
                <w:noProof/>
              </w:rPr>
              <w:t>6.4.</w:t>
            </w:r>
            <w:r>
              <w:rPr>
                <w:rFonts w:eastAsiaTheme="minorEastAsia"/>
                <w:i w:val="0"/>
                <w:iCs w:val="0"/>
                <w:noProof/>
                <w:sz w:val="24"/>
                <w:szCs w:val="24"/>
                <w:lang w:eastAsia="nl-NL"/>
              </w:rPr>
              <w:tab/>
            </w:r>
            <w:r w:rsidRPr="000812CF">
              <w:rPr>
                <w:rStyle w:val="Hyperlink"/>
                <w:noProof/>
              </w:rPr>
              <w:t>Tussenconclusie</w:t>
            </w:r>
            <w:r>
              <w:rPr>
                <w:noProof/>
                <w:webHidden/>
              </w:rPr>
              <w:tab/>
            </w:r>
            <w:r>
              <w:rPr>
                <w:noProof/>
                <w:webHidden/>
              </w:rPr>
              <w:fldChar w:fldCharType="begin"/>
            </w:r>
            <w:r>
              <w:rPr>
                <w:noProof/>
                <w:webHidden/>
              </w:rPr>
              <w:instrText xml:space="preserve"> PAGEREF _Toc186375529 \h </w:instrText>
            </w:r>
            <w:r>
              <w:rPr>
                <w:noProof/>
                <w:webHidden/>
              </w:rPr>
            </w:r>
            <w:r>
              <w:rPr>
                <w:noProof/>
                <w:webHidden/>
              </w:rPr>
              <w:fldChar w:fldCharType="separate"/>
            </w:r>
            <w:r>
              <w:rPr>
                <w:noProof/>
                <w:webHidden/>
              </w:rPr>
              <w:t>52</w:t>
            </w:r>
            <w:r>
              <w:rPr>
                <w:noProof/>
                <w:webHidden/>
              </w:rPr>
              <w:fldChar w:fldCharType="end"/>
            </w:r>
          </w:hyperlink>
        </w:p>
        <w:p w14:paraId="0D17CD50" w14:textId="064EC60A" w:rsidR="00CA4440" w:rsidRDefault="00CA4440">
          <w:pPr>
            <w:pStyle w:val="Inhopg1"/>
            <w:tabs>
              <w:tab w:val="left" w:pos="480"/>
              <w:tab w:val="right" w:leader="dot" w:pos="9062"/>
            </w:tabs>
            <w:rPr>
              <w:rFonts w:eastAsiaTheme="minorEastAsia"/>
              <w:b w:val="0"/>
              <w:bCs w:val="0"/>
              <w:noProof/>
              <w:sz w:val="24"/>
              <w:szCs w:val="24"/>
              <w:lang w:eastAsia="nl-NL"/>
            </w:rPr>
          </w:pPr>
          <w:hyperlink w:anchor="_Toc186375530" w:history="1">
            <w:r w:rsidRPr="000812CF">
              <w:rPr>
                <w:rStyle w:val="Hyperlink"/>
                <w:noProof/>
              </w:rPr>
              <w:t>7.</w:t>
            </w:r>
            <w:r>
              <w:rPr>
                <w:rFonts w:eastAsiaTheme="minorEastAsia"/>
                <w:b w:val="0"/>
                <w:bCs w:val="0"/>
                <w:noProof/>
                <w:sz w:val="24"/>
                <w:szCs w:val="24"/>
                <w:lang w:eastAsia="nl-NL"/>
              </w:rPr>
              <w:tab/>
            </w:r>
            <w:r w:rsidRPr="000812CF">
              <w:rPr>
                <w:rStyle w:val="Hyperlink"/>
                <w:noProof/>
              </w:rPr>
              <w:t>Conclusie</w:t>
            </w:r>
            <w:r>
              <w:rPr>
                <w:noProof/>
                <w:webHidden/>
              </w:rPr>
              <w:tab/>
            </w:r>
            <w:r>
              <w:rPr>
                <w:noProof/>
                <w:webHidden/>
              </w:rPr>
              <w:fldChar w:fldCharType="begin"/>
            </w:r>
            <w:r>
              <w:rPr>
                <w:noProof/>
                <w:webHidden/>
              </w:rPr>
              <w:instrText xml:space="preserve"> PAGEREF _Toc186375530 \h </w:instrText>
            </w:r>
            <w:r>
              <w:rPr>
                <w:noProof/>
                <w:webHidden/>
              </w:rPr>
            </w:r>
            <w:r>
              <w:rPr>
                <w:noProof/>
                <w:webHidden/>
              </w:rPr>
              <w:fldChar w:fldCharType="separate"/>
            </w:r>
            <w:r>
              <w:rPr>
                <w:noProof/>
                <w:webHidden/>
              </w:rPr>
              <w:t>52</w:t>
            </w:r>
            <w:r>
              <w:rPr>
                <w:noProof/>
                <w:webHidden/>
              </w:rPr>
              <w:fldChar w:fldCharType="end"/>
            </w:r>
          </w:hyperlink>
        </w:p>
        <w:p w14:paraId="652C3321" w14:textId="2781CBA1" w:rsidR="00CA4440" w:rsidRDefault="00CA4440">
          <w:pPr>
            <w:pStyle w:val="Inhopg1"/>
            <w:tabs>
              <w:tab w:val="right" w:leader="dot" w:pos="9062"/>
            </w:tabs>
            <w:rPr>
              <w:rFonts w:eastAsiaTheme="minorEastAsia"/>
              <w:b w:val="0"/>
              <w:bCs w:val="0"/>
              <w:noProof/>
              <w:sz w:val="24"/>
              <w:szCs w:val="24"/>
              <w:lang w:eastAsia="nl-NL"/>
            </w:rPr>
          </w:pPr>
          <w:hyperlink w:anchor="_Toc186375531" w:history="1">
            <w:r w:rsidRPr="000812CF">
              <w:rPr>
                <w:rStyle w:val="Hyperlink"/>
                <w:rFonts w:cs="Calibri"/>
                <w:noProof/>
              </w:rPr>
              <w:t>Bronvermelding</w:t>
            </w:r>
            <w:r>
              <w:rPr>
                <w:noProof/>
                <w:webHidden/>
              </w:rPr>
              <w:tab/>
            </w:r>
            <w:r>
              <w:rPr>
                <w:noProof/>
                <w:webHidden/>
              </w:rPr>
              <w:fldChar w:fldCharType="begin"/>
            </w:r>
            <w:r>
              <w:rPr>
                <w:noProof/>
                <w:webHidden/>
              </w:rPr>
              <w:instrText xml:space="preserve"> PAGEREF _Toc186375531 \h </w:instrText>
            </w:r>
            <w:r>
              <w:rPr>
                <w:noProof/>
                <w:webHidden/>
              </w:rPr>
            </w:r>
            <w:r>
              <w:rPr>
                <w:noProof/>
                <w:webHidden/>
              </w:rPr>
              <w:fldChar w:fldCharType="separate"/>
            </w:r>
            <w:r>
              <w:rPr>
                <w:noProof/>
                <w:webHidden/>
              </w:rPr>
              <w:t>55</w:t>
            </w:r>
            <w:r>
              <w:rPr>
                <w:noProof/>
                <w:webHidden/>
              </w:rPr>
              <w:fldChar w:fldCharType="end"/>
            </w:r>
          </w:hyperlink>
        </w:p>
        <w:p w14:paraId="6BB25440" w14:textId="4B681198" w:rsidR="00CA4440" w:rsidRDefault="00CA4440">
          <w:pPr>
            <w:pStyle w:val="Inhopg2"/>
            <w:tabs>
              <w:tab w:val="right" w:leader="dot" w:pos="9062"/>
            </w:tabs>
            <w:rPr>
              <w:rFonts w:eastAsiaTheme="minorEastAsia"/>
              <w:i w:val="0"/>
              <w:iCs w:val="0"/>
              <w:noProof/>
              <w:sz w:val="24"/>
              <w:szCs w:val="24"/>
              <w:lang w:eastAsia="nl-NL"/>
            </w:rPr>
          </w:pPr>
          <w:hyperlink w:anchor="_Toc186375532" w:history="1">
            <w:r w:rsidRPr="000812CF">
              <w:rPr>
                <w:rStyle w:val="Hyperlink"/>
                <w:rFonts w:cs="Calibri"/>
                <w:noProof/>
              </w:rPr>
              <w:t>Literatuur</w:t>
            </w:r>
            <w:r>
              <w:rPr>
                <w:noProof/>
                <w:webHidden/>
              </w:rPr>
              <w:tab/>
            </w:r>
            <w:r>
              <w:rPr>
                <w:noProof/>
                <w:webHidden/>
              </w:rPr>
              <w:fldChar w:fldCharType="begin"/>
            </w:r>
            <w:r>
              <w:rPr>
                <w:noProof/>
                <w:webHidden/>
              </w:rPr>
              <w:instrText xml:space="preserve"> PAGEREF _Toc186375532 \h </w:instrText>
            </w:r>
            <w:r>
              <w:rPr>
                <w:noProof/>
                <w:webHidden/>
              </w:rPr>
            </w:r>
            <w:r>
              <w:rPr>
                <w:noProof/>
                <w:webHidden/>
              </w:rPr>
              <w:fldChar w:fldCharType="separate"/>
            </w:r>
            <w:r>
              <w:rPr>
                <w:noProof/>
                <w:webHidden/>
              </w:rPr>
              <w:t>55</w:t>
            </w:r>
            <w:r>
              <w:rPr>
                <w:noProof/>
                <w:webHidden/>
              </w:rPr>
              <w:fldChar w:fldCharType="end"/>
            </w:r>
          </w:hyperlink>
        </w:p>
        <w:p w14:paraId="3356FE3B" w14:textId="5E8A6195" w:rsidR="00CA4440" w:rsidRDefault="00CA4440">
          <w:pPr>
            <w:pStyle w:val="Inhopg2"/>
            <w:tabs>
              <w:tab w:val="right" w:leader="dot" w:pos="9062"/>
            </w:tabs>
            <w:rPr>
              <w:rFonts w:eastAsiaTheme="minorEastAsia"/>
              <w:i w:val="0"/>
              <w:iCs w:val="0"/>
              <w:noProof/>
              <w:sz w:val="24"/>
              <w:szCs w:val="24"/>
              <w:lang w:eastAsia="nl-NL"/>
            </w:rPr>
          </w:pPr>
          <w:hyperlink w:anchor="_Toc186375533" w:history="1">
            <w:r w:rsidRPr="000812CF">
              <w:rPr>
                <w:rStyle w:val="Hyperlink"/>
                <w:rFonts w:cs="Calibri"/>
                <w:noProof/>
              </w:rPr>
              <w:t>Europese rechtspraak</w:t>
            </w:r>
            <w:r>
              <w:rPr>
                <w:noProof/>
                <w:webHidden/>
              </w:rPr>
              <w:tab/>
            </w:r>
            <w:r>
              <w:rPr>
                <w:noProof/>
                <w:webHidden/>
              </w:rPr>
              <w:fldChar w:fldCharType="begin"/>
            </w:r>
            <w:r>
              <w:rPr>
                <w:noProof/>
                <w:webHidden/>
              </w:rPr>
              <w:instrText xml:space="preserve"> PAGEREF _Toc186375533 \h </w:instrText>
            </w:r>
            <w:r>
              <w:rPr>
                <w:noProof/>
                <w:webHidden/>
              </w:rPr>
            </w:r>
            <w:r>
              <w:rPr>
                <w:noProof/>
                <w:webHidden/>
              </w:rPr>
              <w:fldChar w:fldCharType="separate"/>
            </w:r>
            <w:r>
              <w:rPr>
                <w:noProof/>
                <w:webHidden/>
              </w:rPr>
              <w:t>58</w:t>
            </w:r>
            <w:r>
              <w:rPr>
                <w:noProof/>
                <w:webHidden/>
              </w:rPr>
              <w:fldChar w:fldCharType="end"/>
            </w:r>
          </w:hyperlink>
        </w:p>
        <w:p w14:paraId="2B63F553" w14:textId="51930593" w:rsidR="00CA4440" w:rsidRDefault="00CA4440">
          <w:pPr>
            <w:pStyle w:val="Inhopg2"/>
            <w:tabs>
              <w:tab w:val="right" w:leader="dot" w:pos="9062"/>
            </w:tabs>
            <w:rPr>
              <w:rFonts w:eastAsiaTheme="minorEastAsia"/>
              <w:i w:val="0"/>
              <w:iCs w:val="0"/>
              <w:noProof/>
              <w:sz w:val="24"/>
              <w:szCs w:val="24"/>
              <w:lang w:eastAsia="nl-NL"/>
            </w:rPr>
          </w:pPr>
          <w:hyperlink w:anchor="_Toc186375534" w:history="1">
            <w:r w:rsidRPr="000812CF">
              <w:rPr>
                <w:rStyle w:val="Hyperlink"/>
                <w:rFonts w:cs="Calibri"/>
                <w:noProof/>
              </w:rPr>
              <w:t>Uitspraken Hoge Raad</w:t>
            </w:r>
            <w:r>
              <w:rPr>
                <w:noProof/>
                <w:webHidden/>
              </w:rPr>
              <w:tab/>
            </w:r>
            <w:r>
              <w:rPr>
                <w:noProof/>
                <w:webHidden/>
              </w:rPr>
              <w:fldChar w:fldCharType="begin"/>
            </w:r>
            <w:r>
              <w:rPr>
                <w:noProof/>
                <w:webHidden/>
              </w:rPr>
              <w:instrText xml:space="preserve"> PAGEREF _Toc186375534 \h </w:instrText>
            </w:r>
            <w:r>
              <w:rPr>
                <w:noProof/>
                <w:webHidden/>
              </w:rPr>
            </w:r>
            <w:r>
              <w:rPr>
                <w:noProof/>
                <w:webHidden/>
              </w:rPr>
              <w:fldChar w:fldCharType="separate"/>
            </w:r>
            <w:r>
              <w:rPr>
                <w:noProof/>
                <w:webHidden/>
              </w:rPr>
              <w:t>58</w:t>
            </w:r>
            <w:r>
              <w:rPr>
                <w:noProof/>
                <w:webHidden/>
              </w:rPr>
              <w:fldChar w:fldCharType="end"/>
            </w:r>
          </w:hyperlink>
        </w:p>
        <w:p w14:paraId="34C74D77" w14:textId="090D2E40" w:rsidR="00CA4440" w:rsidRDefault="00CA4440">
          <w:pPr>
            <w:pStyle w:val="Inhopg2"/>
            <w:tabs>
              <w:tab w:val="right" w:leader="dot" w:pos="9062"/>
            </w:tabs>
            <w:rPr>
              <w:rFonts w:eastAsiaTheme="minorEastAsia"/>
              <w:i w:val="0"/>
              <w:iCs w:val="0"/>
              <w:noProof/>
              <w:sz w:val="24"/>
              <w:szCs w:val="24"/>
              <w:lang w:eastAsia="nl-NL"/>
            </w:rPr>
          </w:pPr>
          <w:hyperlink w:anchor="_Toc186375535" w:history="1">
            <w:r w:rsidRPr="000812CF">
              <w:rPr>
                <w:rStyle w:val="Hyperlink"/>
                <w:noProof/>
              </w:rPr>
              <w:t>Uitspraken lagere rechtspraak</w:t>
            </w:r>
            <w:r>
              <w:rPr>
                <w:noProof/>
                <w:webHidden/>
              </w:rPr>
              <w:tab/>
            </w:r>
            <w:r>
              <w:rPr>
                <w:noProof/>
                <w:webHidden/>
              </w:rPr>
              <w:fldChar w:fldCharType="begin"/>
            </w:r>
            <w:r>
              <w:rPr>
                <w:noProof/>
                <w:webHidden/>
              </w:rPr>
              <w:instrText xml:space="preserve"> PAGEREF _Toc186375535 \h </w:instrText>
            </w:r>
            <w:r>
              <w:rPr>
                <w:noProof/>
                <w:webHidden/>
              </w:rPr>
            </w:r>
            <w:r>
              <w:rPr>
                <w:noProof/>
                <w:webHidden/>
              </w:rPr>
              <w:fldChar w:fldCharType="separate"/>
            </w:r>
            <w:r>
              <w:rPr>
                <w:noProof/>
                <w:webHidden/>
              </w:rPr>
              <w:t>58</w:t>
            </w:r>
            <w:r>
              <w:rPr>
                <w:noProof/>
                <w:webHidden/>
              </w:rPr>
              <w:fldChar w:fldCharType="end"/>
            </w:r>
          </w:hyperlink>
        </w:p>
        <w:p w14:paraId="5CF39FAD" w14:textId="7AD28131" w:rsidR="00CA4440" w:rsidRDefault="00CA4440">
          <w:pPr>
            <w:pStyle w:val="Inhopg2"/>
            <w:tabs>
              <w:tab w:val="right" w:leader="dot" w:pos="9062"/>
            </w:tabs>
            <w:rPr>
              <w:rFonts w:eastAsiaTheme="minorEastAsia"/>
              <w:i w:val="0"/>
              <w:iCs w:val="0"/>
              <w:noProof/>
              <w:sz w:val="24"/>
              <w:szCs w:val="24"/>
              <w:lang w:eastAsia="nl-NL"/>
            </w:rPr>
          </w:pPr>
          <w:hyperlink w:anchor="_Toc186375536" w:history="1">
            <w:r w:rsidRPr="000812CF">
              <w:rPr>
                <w:rStyle w:val="Hyperlink"/>
                <w:noProof/>
              </w:rPr>
              <w:t>Uitspraken Raad van State</w:t>
            </w:r>
            <w:r>
              <w:rPr>
                <w:noProof/>
                <w:webHidden/>
              </w:rPr>
              <w:tab/>
            </w:r>
            <w:r>
              <w:rPr>
                <w:noProof/>
                <w:webHidden/>
              </w:rPr>
              <w:fldChar w:fldCharType="begin"/>
            </w:r>
            <w:r>
              <w:rPr>
                <w:noProof/>
                <w:webHidden/>
              </w:rPr>
              <w:instrText xml:space="preserve"> PAGEREF _Toc186375536 \h </w:instrText>
            </w:r>
            <w:r>
              <w:rPr>
                <w:noProof/>
                <w:webHidden/>
              </w:rPr>
            </w:r>
            <w:r>
              <w:rPr>
                <w:noProof/>
                <w:webHidden/>
              </w:rPr>
              <w:fldChar w:fldCharType="separate"/>
            </w:r>
            <w:r>
              <w:rPr>
                <w:noProof/>
                <w:webHidden/>
              </w:rPr>
              <w:t>59</w:t>
            </w:r>
            <w:r>
              <w:rPr>
                <w:noProof/>
                <w:webHidden/>
              </w:rPr>
              <w:fldChar w:fldCharType="end"/>
            </w:r>
          </w:hyperlink>
        </w:p>
        <w:p w14:paraId="09419AB3" w14:textId="6F8A1C17" w:rsidR="00CA4440" w:rsidRDefault="00CA4440">
          <w:pPr>
            <w:pStyle w:val="Inhopg2"/>
            <w:tabs>
              <w:tab w:val="right" w:leader="dot" w:pos="9062"/>
            </w:tabs>
            <w:rPr>
              <w:rFonts w:eastAsiaTheme="minorEastAsia"/>
              <w:i w:val="0"/>
              <w:iCs w:val="0"/>
              <w:noProof/>
              <w:sz w:val="24"/>
              <w:szCs w:val="24"/>
              <w:lang w:eastAsia="nl-NL"/>
            </w:rPr>
          </w:pPr>
          <w:hyperlink w:anchor="_Toc186375537" w:history="1">
            <w:r w:rsidRPr="000812CF">
              <w:rPr>
                <w:rStyle w:val="Hyperlink"/>
                <w:noProof/>
              </w:rPr>
              <w:t>Kamerstukken</w:t>
            </w:r>
            <w:r>
              <w:rPr>
                <w:noProof/>
                <w:webHidden/>
              </w:rPr>
              <w:tab/>
            </w:r>
            <w:r>
              <w:rPr>
                <w:noProof/>
                <w:webHidden/>
              </w:rPr>
              <w:fldChar w:fldCharType="begin"/>
            </w:r>
            <w:r>
              <w:rPr>
                <w:noProof/>
                <w:webHidden/>
              </w:rPr>
              <w:instrText xml:space="preserve"> PAGEREF _Toc186375537 \h </w:instrText>
            </w:r>
            <w:r>
              <w:rPr>
                <w:noProof/>
                <w:webHidden/>
              </w:rPr>
            </w:r>
            <w:r>
              <w:rPr>
                <w:noProof/>
                <w:webHidden/>
              </w:rPr>
              <w:fldChar w:fldCharType="separate"/>
            </w:r>
            <w:r>
              <w:rPr>
                <w:noProof/>
                <w:webHidden/>
              </w:rPr>
              <w:t>59</w:t>
            </w:r>
            <w:r>
              <w:rPr>
                <w:noProof/>
                <w:webHidden/>
              </w:rPr>
              <w:fldChar w:fldCharType="end"/>
            </w:r>
          </w:hyperlink>
        </w:p>
        <w:p w14:paraId="34D87941" w14:textId="3F28FEBB" w:rsidR="00CA4440" w:rsidRDefault="00CA4440">
          <w:pPr>
            <w:pStyle w:val="Inhopg1"/>
            <w:tabs>
              <w:tab w:val="right" w:leader="dot" w:pos="9062"/>
            </w:tabs>
            <w:rPr>
              <w:rFonts w:eastAsiaTheme="minorEastAsia"/>
              <w:b w:val="0"/>
              <w:bCs w:val="0"/>
              <w:noProof/>
              <w:sz w:val="24"/>
              <w:szCs w:val="24"/>
              <w:lang w:eastAsia="nl-NL"/>
            </w:rPr>
          </w:pPr>
          <w:hyperlink w:anchor="_Toc186375538" w:history="1">
            <w:r w:rsidRPr="000812CF">
              <w:rPr>
                <w:rStyle w:val="Hyperlink"/>
                <w:noProof/>
                <w:shd w:val="clear" w:color="auto" w:fill="FFFFFF"/>
              </w:rPr>
              <w:t>Bronvermelding België</w:t>
            </w:r>
            <w:r>
              <w:rPr>
                <w:noProof/>
                <w:webHidden/>
              </w:rPr>
              <w:tab/>
            </w:r>
            <w:r>
              <w:rPr>
                <w:noProof/>
                <w:webHidden/>
              </w:rPr>
              <w:fldChar w:fldCharType="begin"/>
            </w:r>
            <w:r>
              <w:rPr>
                <w:noProof/>
                <w:webHidden/>
              </w:rPr>
              <w:instrText xml:space="preserve"> PAGEREF _Toc186375538 \h </w:instrText>
            </w:r>
            <w:r>
              <w:rPr>
                <w:noProof/>
                <w:webHidden/>
              </w:rPr>
            </w:r>
            <w:r>
              <w:rPr>
                <w:noProof/>
                <w:webHidden/>
              </w:rPr>
              <w:fldChar w:fldCharType="separate"/>
            </w:r>
            <w:r>
              <w:rPr>
                <w:noProof/>
                <w:webHidden/>
              </w:rPr>
              <w:t>59</w:t>
            </w:r>
            <w:r>
              <w:rPr>
                <w:noProof/>
                <w:webHidden/>
              </w:rPr>
              <w:fldChar w:fldCharType="end"/>
            </w:r>
          </w:hyperlink>
        </w:p>
        <w:p w14:paraId="6FB07D3D" w14:textId="0057292E" w:rsidR="00CA4440" w:rsidRDefault="00CA4440">
          <w:pPr>
            <w:pStyle w:val="Inhopg2"/>
            <w:tabs>
              <w:tab w:val="right" w:leader="dot" w:pos="9062"/>
            </w:tabs>
            <w:rPr>
              <w:rFonts w:eastAsiaTheme="minorEastAsia"/>
              <w:i w:val="0"/>
              <w:iCs w:val="0"/>
              <w:noProof/>
              <w:sz w:val="24"/>
              <w:szCs w:val="24"/>
              <w:lang w:eastAsia="nl-NL"/>
            </w:rPr>
          </w:pPr>
          <w:hyperlink w:anchor="_Toc186375539" w:history="1">
            <w:r w:rsidRPr="000812CF">
              <w:rPr>
                <w:rStyle w:val="Hyperlink"/>
                <w:noProof/>
              </w:rPr>
              <w:t>Literatuur</w:t>
            </w:r>
            <w:r>
              <w:rPr>
                <w:noProof/>
                <w:webHidden/>
              </w:rPr>
              <w:tab/>
            </w:r>
            <w:r>
              <w:rPr>
                <w:noProof/>
                <w:webHidden/>
              </w:rPr>
              <w:fldChar w:fldCharType="begin"/>
            </w:r>
            <w:r>
              <w:rPr>
                <w:noProof/>
                <w:webHidden/>
              </w:rPr>
              <w:instrText xml:space="preserve"> PAGEREF _Toc186375539 \h </w:instrText>
            </w:r>
            <w:r>
              <w:rPr>
                <w:noProof/>
                <w:webHidden/>
              </w:rPr>
            </w:r>
            <w:r>
              <w:rPr>
                <w:noProof/>
                <w:webHidden/>
              </w:rPr>
              <w:fldChar w:fldCharType="separate"/>
            </w:r>
            <w:r>
              <w:rPr>
                <w:noProof/>
                <w:webHidden/>
              </w:rPr>
              <w:t>59</w:t>
            </w:r>
            <w:r>
              <w:rPr>
                <w:noProof/>
                <w:webHidden/>
              </w:rPr>
              <w:fldChar w:fldCharType="end"/>
            </w:r>
          </w:hyperlink>
        </w:p>
        <w:p w14:paraId="60C18A10" w14:textId="6089DE1D" w:rsidR="00CA4440" w:rsidRDefault="00CA4440">
          <w:pPr>
            <w:pStyle w:val="Inhopg2"/>
            <w:tabs>
              <w:tab w:val="right" w:leader="dot" w:pos="9062"/>
            </w:tabs>
            <w:rPr>
              <w:rFonts w:eastAsiaTheme="minorEastAsia"/>
              <w:i w:val="0"/>
              <w:iCs w:val="0"/>
              <w:noProof/>
              <w:sz w:val="24"/>
              <w:szCs w:val="24"/>
              <w:lang w:eastAsia="nl-NL"/>
            </w:rPr>
          </w:pPr>
          <w:hyperlink w:anchor="_Toc186375540" w:history="1">
            <w:r w:rsidRPr="000812CF">
              <w:rPr>
                <w:rStyle w:val="Hyperlink"/>
                <w:noProof/>
              </w:rPr>
              <w:t>Hof van Cassatie</w:t>
            </w:r>
            <w:r>
              <w:rPr>
                <w:noProof/>
                <w:webHidden/>
              </w:rPr>
              <w:tab/>
            </w:r>
            <w:r>
              <w:rPr>
                <w:noProof/>
                <w:webHidden/>
              </w:rPr>
              <w:fldChar w:fldCharType="begin"/>
            </w:r>
            <w:r>
              <w:rPr>
                <w:noProof/>
                <w:webHidden/>
              </w:rPr>
              <w:instrText xml:space="preserve"> PAGEREF _Toc186375540 \h </w:instrText>
            </w:r>
            <w:r>
              <w:rPr>
                <w:noProof/>
                <w:webHidden/>
              </w:rPr>
            </w:r>
            <w:r>
              <w:rPr>
                <w:noProof/>
                <w:webHidden/>
              </w:rPr>
              <w:fldChar w:fldCharType="separate"/>
            </w:r>
            <w:r>
              <w:rPr>
                <w:noProof/>
                <w:webHidden/>
              </w:rPr>
              <w:t>61</w:t>
            </w:r>
            <w:r>
              <w:rPr>
                <w:noProof/>
                <w:webHidden/>
              </w:rPr>
              <w:fldChar w:fldCharType="end"/>
            </w:r>
          </w:hyperlink>
        </w:p>
        <w:p w14:paraId="7BDA8038" w14:textId="45CBF313" w:rsidR="00CA4440" w:rsidRDefault="00CA4440">
          <w:pPr>
            <w:pStyle w:val="Inhopg2"/>
            <w:tabs>
              <w:tab w:val="right" w:leader="dot" w:pos="9062"/>
            </w:tabs>
            <w:rPr>
              <w:rFonts w:eastAsiaTheme="minorEastAsia"/>
              <w:i w:val="0"/>
              <w:iCs w:val="0"/>
              <w:noProof/>
              <w:sz w:val="24"/>
              <w:szCs w:val="24"/>
              <w:lang w:eastAsia="nl-NL"/>
            </w:rPr>
          </w:pPr>
          <w:hyperlink w:anchor="_Toc186375541" w:history="1">
            <w:r w:rsidRPr="000812CF">
              <w:rPr>
                <w:rStyle w:val="Hyperlink"/>
                <w:noProof/>
              </w:rPr>
              <w:t>Rechtbanken</w:t>
            </w:r>
            <w:r>
              <w:rPr>
                <w:noProof/>
                <w:webHidden/>
              </w:rPr>
              <w:tab/>
            </w:r>
            <w:r>
              <w:rPr>
                <w:noProof/>
                <w:webHidden/>
              </w:rPr>
              <w:fldChar w:fldCharType="begin"/>
            </w:r>
            <w:r>
              <w:rPr>
                <w:noProof/>
                <w:webHidden/>
              </w:rPr>
              <w:instrText xml:space="preserve"> PAGEREF _Toc186375541 \h </w:instrText>
            </w:r>
            <w:r>
              <w:rPr>
                <w:noProof/>
                <w:webHidden/>
              </w:rPr>
            </w:r>
            <w:r>
              <w:rPr>
                <w:noProof/>
                <w:webHidden/>
              </w:rPr>
              <w:fldChar w:fldCharType="separate"/>
            </w:r>
            <w:r>
              <w:rPr>
                <w:noProof/>
                <w:webHidden/>
              </w:rPr>
              <w:t>61</w:t>
            </w:r>
            <w:r>
              <w:rPr>
                <w:noProof/>
                <w:webHidden/>
              </w:rPr>
              <w:fldChar w:fldCharType="end"/>
            </w:r>
          </w:hyperlink>
        </w:p>
        <w:p w14:paraId="15FC7339" w14:textId="0875E094" w:rsidR="00F20F13" w:rsidRDefault="00F20F13">
          <w:r>
            <w:rPr>
              <w:b/>
              <w:bCs/>
              <w:noProof/>
            </w:rPr>
            <w:fldChar w:fldCharType="end"/>
          </w:r>
        </w:p>
      </w:sdtContent>
    </w:sdt>
    <w:p w14:paraId="67DBE92D" w14:textId="280572B6" w:rsidR="0009615E" w:rsidRDefault="0009615E" w:rsidP="00196BD8">
      <w:pPr>
        <w:spacing w:line="276" w:lineRule="auto"/>
        <w:jc w:val="both"/>
      </w:pPr>
    </w:p>
    <w:p w14:paraId="0003A50B" w14:textId="77777777" w:rsidR="00162668" w:rsidRDefault="00162668" w:rsidP="00196BD8">
      <w:pPr>
        <w:spacing w:line="276" w:lineRule="auto"/>
        <w:jc w:val="both"/>
        <w:rPr>
          <w:rFonts w:cs="Calibri"/>
        </w:rPr>
      </w:pPr>
    </w:p>
    <w:p w14:paraId="1F62920B" w14:textId="7F903D4D" w:rsidR="00162668" w:rsidRDefault="00BE50C7" w:rsidP="00196BD8">
      <w:pPr>
        <w:tabs>
          <w:tab w:val="left" w:pos="1867"/>
        </w:tabs>
        <w:spacing w:line="276" w:lineRule="auto"/>
        <w:jc w:val="both"/>
        <w:rPr>
          <w:rFonts w:cs="Calibri"/>
        </w:rPr>
      </w:pPr>
      <w:r>
        <w:rPr>
          <w:rFonts w:cs="Calibri"/>
        </w:rPr>
        <w:tab/>
      </w:r>
    </w:p>
    <w:p w14:paraId="41D93F0A" w14:textId="77777777" w:rsidR="00BE50C7" w:rsidRDefault="00BE50C7" w:rsidP="00196BD8">
      <w:pPr>
        <w:tabs>
          <w:tab w:val="left" w:pos="1867"/>
        </w:tabs>
        <w:spacing w:line="276" w:lineRule="auto"/>
        <w:jc w:val="both"/>
        <w:rPr>
          <w:rFonts w:cs="Calibri"/>
        </w:rPr>
      </w:pPr>
    </w:p>
    <w:p w14:paraId="29B79316" w14:textId="77777777" w:rsidR="00BE50C7" w:rsidRDefault="00BE50C7" w:rsidP="00196BD8">
      <w:pPr>
        <w:tabs>
          <w:tab w:val="left" w:pos="1867"/>
        </w:tabs>
        <w:spacing w:line="276" w:lineRule="auto"/>
        <w:jc w:val="both"/>
        <w:rPr>
          <w:rFonts w:cs="Calibri"/>
        </w:rPr>
      </w:pPr>
    </w:p>
    <w:p w14:paraId="48B655A2" w14:textId="77777777" w:rsidR="00BE50C7" w:rsidRDefault="00BE50C7" w:rsidP="00196BD8">
      <w:pPr>
        <w:tabs>
          <w:tab w:val="left" w:pos="1867"/>
        </w:tabs>
        <w:spacing w:line="276" w:lineRule="auto"/>
        <w:jc w:val="both"/>
        <w:rPr>
          <w:rFonts w:cs="Calibri"/>
        </w:rPr>
      </w:pPr>
    </w:p>
    <w:p w14:paraId="17BE3DF4" w14:textId="77777777" w:rsidR="00BE50C7" w:rsidRDefault="00BE50C7" w:rsidP="00196BD8">
      <w:pPr>
        <w:tabs>
          <w:tab w:val="left" w:pos="1867"/>
        </w:tabs>
        <w:spacing w:line="276" w:lineRule="auto"/>
        <w:jc w:val="both"/>
        <w:rPr>
          <w:rFonts w:cs="Calibri"/>
        </w:rPr>
      </w:pPr>
    </w:p>
    <w:p w14:paraId="6A63FC4E" w14:textId="77777777" w:rsidR="00BE50C7" w:rsidRDefault="00BE50C7" w:rsidP="00196BD8">
      <w:pPr>
        <w:tabs>
          <w:tab w:val="left" w:pos="1867"/>
        </w:tabs>
        <w:spacing w:line="276" w:lineRule="auto"/>
        <w:jc w:val="both"/>
        <w:rPr>
          <w:rFonts w:cs="Calibri"/>
        </w:rPr>
      </w:pPr>
    </w:p>
    <w:p w14:paraId="77457427" w14:textId="77777777" w:rsidR="00BE50C7" w:rsidRDefault="00BE50C7" w:rsidP="00196BD8">
      <w:pPr>
        <w:tabs>
          <w:tab w:val="left" w:pos="1867"/>
        </w:tabs>
        <w:spacing w:line="276" w:lineRule="auto"/>
        <w:jc w:val="both"/>
        <w:rPr>
          <w:rFonts w:cs="Calibri"/>
        </w:rPr>
      </w:pPr>
    </w:p>
    <w:p w14:paraId="32557B1C" w14:textId="77777777" w:rsidR="00BE50C7" w:rsidRDefault="00BE50C7" w:rsidP="00196BD8">
      <w:pPr>
        <w:tabs>
          <w:tab w:val="left" w:pos="1867"/>
        </w:tabs>
        <w:spacing w:line="276" w:lineRule="auto"/>
        <w:jc w:val="both"/>
        <w:rPr>
          <w:rFonts w:cs="Calibri"/>
        </w:rPr>
      </w:pPr>
    </w:p>
    <w:p w14:paraId="5AD137D8" w14:textId="77777777" w:rsidR="00BE50C7" w:rsidRDefault="00BE50C7" w:rsidP="00196BD8">
      <w:pPr>
        <w:tabs>
          <w:tab w:val="left" w:pos="1867"/>
        </w:tabs>
        <w:spacing w:line="276" w:lineRule="auto"/>
        <w:jc w:val="both"/>
        <w:rPr>
          <w:rFonts w:cs="Calibri"/>
        </w:rPr>
      </w:pPr>
    </w:p>
    <w:p w14:paraId="7D78D215" w14:textId="77777777" w:rsidR="00BE50C7" w:rsidRDefault="00BE50C7" w:rsidP="00196BD8">
      <w:pPr>
        <w:tabs>
          <w:tab w:val="left" w:pos="1867"/>
        </w:tabs>
        <w:spacing w:line="276" w:lineRule="auto"/>
        <w:jc w:val="both"/>
        <w:rPr>
          <w:rFonts w:cs="Calibri"/>
        </w:rPr>
      </w:pPr>
    </w:p>
    <w:p w14:paraId="3BD65FE3" w14:textId="77777777" w:rsidR="00BE50C7" w:rsidRDefault="00BE50C7" w:rsidP="00196BD8">
      <w:pPr>
        <w:tabs>
          <w:tab w:val="left" w:pos="1867"/>
        </w:tabs>
        <w:spacing w:line="276" w:lineRule="auto"/>
        <w:jc w:val="both"/>
        <w:rPr>
          <w:rFonts w:cs="Calibri"/>
        </w:rPr>
      </w:pPr>
    </w:p>
    <w:p w14:paraId="0DFFFC1C" w14:textId="77777777" w:rsidR="00BE50C7" w:rsidRDefault="00BE50C7" w:rsidP="00196BD8">
      <w:pPr>
        <w:tabs>
          <w:tab w:val="left" w:pos="1867"/>
        </w:tabs>
        <w:spacing w:line="276" w:lineRule="auto"/>
        <w:jc w:val="both"/>
        <w:rPr>
          <w:rFonts w:cs="Calibri"/>
        </w:rPr>
      </w:pPr>
    </w:p>
    <w:p w14:paraId="72389480" w14:textId="77777777" w:rsidR="00BE50C7" w:rsidRDefault="00BE50C7" w:rsidP="00196BD8">
      <w:pPr>
        <w:tabs>
          <w:tab w:val="left" w:pos="1867"/>
        </w:tabs>
        <w:spacing w:line="276" w:lineRule="auto"/>
        <w:jc w:val="both"/>
        <w:rPr>
          <w:rFonts w:cs="Calibri"/>
        </w:rPr>
      </w:pPr>
    </w:p>
    <w:p w14:paraId="18438445" w14:textId="77777777" w:rsidR="00BE50C7" w:rsidRDefault="00BE50C7" w:rsidP="00196BD8">
      <w:pPr>
        <w:tabs>
          <w:tab w:val="left" w:pos="1867"/>
        </w:tabs>
        <w:spacing w:line="276" w:lineRule="auto"/>
        <w:jc w:val="both"/>
        <w:rPr>
          <w:rFonts w:cs="Calibri"/>
        </w:rPr>
      </w:pPr>
    </w:p>
    <w:p w14:paraId="43302E6A" w14:textId="77777777" w:rsidR="00BE50C7" w:rsidRDefault="00BE50C7" w:rsidP="00196BD8">
      <w:pPr>
        <w:tabs>
          <w:tab w:val="left" w:pos="1867"/>
        </w:tabs>
        <w:spacing w:line="276" w:lineRule="auto"/>
        <w:jc w:val="both"/>
        <w:rPr>
          <w:rFonts w:cs="Calibri"/>
        </w:rPr>
      </w:pPr>
    </w:p>
    <w:p w14:paraId="6877CD9A" w14:textId="77777777" w:rsidR="00162668" w:rsidRPr="00B04838" w:rsidRDefault="00162668" w:rsidP="00196BD8">
      <w:pPr>
        <w:spacing w:line="276" w:lineRule="auto"/>
        <w:jc w:val="both"/>
        <w:rPr>
          <w:rFonts w:cs="Calibri"/>
        </w:rPr>
      </w:pPr>
    </w:p>
    <w:p w14:paraId="77EFD4C9" w14:textId="4CCDE03E" w:rsidR="003C157E" w:rsidRDefault="003C157E" w:rsidP="00196BD8">
      <w:pPr>
        <w:pStyle w:val="Kop1"/>
        <w:numPr>
          <w:ilvl w:val="0"/>
          <w:numId w:val="5"/>
        </w:numPr>
        <w:spacing w:line="276" w:lineRule="auto"/>
        <w:jc w:val="both"/>
      </w:pPr>
      <w:bookmarkStart w:id="0" w:name="_Toc182382063"/>
      <w:bookmarkStart w:id="1" w:name="_Toc186375500"/>
      <w:r>
        <w:lastRenderedPageBreak/>
        <w:t>Opzet/inleiding</w:t>
      </w:r>
      <w:bookmarkEnd w:id="0"/>
      <w:bookmarkEnd w:id="1"/>
      <w:r>
        <w:t xml:space="preserve"> </w:t>
      </w:r>
    </w:p>
    <w:p w14:paraId="0A7ACF77" w14:textId="29CEEFEA" w:rsidR="004E3FC5" w:rsidRPr="00915A01" w:rsidRDefault="001B34C6" w:rsidP="00196BD8">
      <w:pPr>
        <w:pStyle w:val="Lijstalinea"/>
        <w:numPr>
          <w:ilvl w:val="1"/>
          <w:numId w:val="5"/>
        </w:numPr>
        <w:spacing w:line="276" w:lineRule="auto"/>
        <w:jc w:val="both"/>
        <w:rPr>
          <w:rFonts w:cstheme="majorBidi"/>
          <w:b/>
          <w:bCs/>
          <w:color w:val="0D0D0D" w:themeColor="text1" w:themeTint="F2"/>
        </w:rPr>
      </w:pPr>
      <w:r w:rsidRPr="00915A01">
        <w:rPr>
          <w:b/>
          <w:bCs/>
          <w:color w:val="0D0D0D" w:themeColor="text1" w:themeTint="F2"/>
        </w:rPr>
        <w:t>Introductie van het gekozen onderwerp</w:t>
      </w:r>
    </w:p>
    <w:p w14:paraId="545E918B" w14:textId="2D525029" w:rsidR="00E36E33" w:rsidRPr="00B04838" w:rsidRDefault="00CE6C34" w:rsidP="00196BD8">
      <w:pPr>
        <w:spacing w:line="276" w:lineRule="auto"/>
        <w:jc w:val="both"/>
        <w:rPr>
          <w:rFonts w:cs="Calibri"/>
        </w:rPr>
      </w:pPr>
      <w:r w:rsidRPr="00B04838">
        <w:rPr>
          <w:rFonts w:cs="Calibri"/>
        </w:rPr>
        <w:t xml:space="preserve">In </w:t>
      </w:r>
      <w:r w:rsidR="003D7BB4">
        <w:rPr>
          <w:rFonts w:cs="Calibri"/>
        </w:rPr>
        <w:t>vrijwel</w:t>
      </w:r>
      <w:r w:rsidRPr="00B04838">
        <w:rPr>
          <w:rFonts w:cs="Calibri"/>
        </w:rPr>
        <w:t xml:space="preserve"> alle overeenkomsten, digitaal of op papier, zijn algemene voorwaarden opgenomen. </w:t>
      </w:r>
      <w:r w:rsidR="00337E48">
        <w:rPr>
          <w:rFonts w:cs="Calibri"/>
        </w:rPr>
        <w:t xml:space="preserve">Hieraan is ook de nodige wetgeving verbonden. </w:t>
      </w:r>
      <w:r w:rsidRPr="00B04838">
        <w:rPr>
          <w:rFonts w:cs="Calibri"/>
        </w:rPr>
        <w:t xml:space="preserve">Er is door de wetgever echter geen bijzondere regel geformuleerd </w:t>
      </w:r>
      <w:r w:rsidR="00FB1E72">
        <w:rPr>
          <w:rFonts w:cs="Calibri"/>
        </w:rPr>
        <w:t>over</w:t>
      </w:r>
      <w:r w:rsidRPr="00B04838">
        <w:rPr>
          <w:rFonts w:cs="Calibri"/>
        </w:rPr>
        <w:t xml:space="preserve"> wanneer </w:t>
      </w:r>
      <w:r w:rsidR="00337E48">
        <w:rPr>
          <w:rFonts w:cs="Calibri"/>
        </w:rPr>
        <w:t xml:space="preserve">de </w:t>
      </w:r>
      <w:r w:rsidRPr="00B04838">
        <w:rPr>
          <w:rFonts w:cs="Calibri"/>
        </w:rPr>
        <w:t xml:space="preserve">algemene voorwaarden van toepassing zijn. </w:t>
      </w:r>
      <w:r w:rsidR="00FC5258">
        <w:rPr>
          <w:rFonts w:cs="Calibri"/>
        </w:rPr>
        <w:t xml:space="preserve">Of algemene voorwaarden </w:t>
      </w:r>
      <w:r w:rsidR="00326E50">
        <w:rPr>
          <w:rFonts w:cs="Calibri"/>
        </w:rPr>
        <w:t>van toepassing zijn wordt</w:t>
      </w:r>
      <w:r w:rsidR="00DA6A76">
        <w:rPr>
          <w:rFonts w:cs="Calibri"/>
        </w:rPr>
        <w:t xml:space="preserve"> daarom beoordeeld door het systeem van aanbod en aanvaarding bij </w:t>
      </w:r>
      <w:r w:rsidRPr="00B04838">
        <w:rPr>
          <w:rFonts w:cs="Calibri"/>
        </w:rPr>
        <w:t>het tot stand komen van overeenkomsten.</w:t>
      </w:r>
      <w:r w:rsidR="00B15A37" w:rsidRPr="00B04838">
        <w:rPr>
          <w:rStyle w:val="Voetnootmarkering"/>
          <w:rFonts w:cs="Calibri"/>
        </w:rPr>
        <w:footnoteReference w:id="1"/>
      </w:r>
      <w:r w:rsidR="00B15A37" w:rsidRPr="00B04838">
        <w:rPr>
          <w:rFonts w:cs="Calibri"/>
        </w:rPr>
        <w:t xml:space="preserve"> </w:t>
      </w:r>
    </w:p>
    <w:p w14:paraId="18C9FA62" w14:textId="34AB5F45" w:rsidR="00CF00FE" w:rsidRPr="00F814F8" w:rsidRDefault="00B15A37" w:rsidP="00196BD8">
      <w:pPr>
        <w:spacing w:line="276" w:lineRule="auto"/>
        <w:jc w:val="both"/>
        <w:rPr>
          <w:rFonts w:cs="Calibri"/>
          <w:color w:val="000000" w:themeColor="text1"/>
        </w:rPr>
      </w:pPr>
      <w:r w:rsidRPr="00B04838">
        <w:rPr>
          <w:rFonts w:cs="Calibri"/>
        </w:rPr>
        <w:t>De terhandstelling van de algemene voorwaarden</w:t>
      </w:r>
      <w:r w:rsidR="00DA6A76">
        <w:rPr>
          <w:rFonts w:cs="Calibri"/>
        </w:rPr>
        <w:t xml:space="preserve"> </w:t>
      </w:r>
      <w:r w:rsidRPr="00B04838">
        <w:rPr>
          <w:rFonts w:cs="Calibri"/>
        </w:rPr>
        <w:t>is</w:t>
      </w:r>
      <w:r w:rsidR="00491BCD">
        <w:rPr>
          <w:rFonts w:cs="Calibri"/>
        </w:rPr>
        <w:t xml:space="preserve"> daarentegen</w:t>
      </w:r>
      <w:r w:rsidRPr="00B04838">
        <w:rPr>
          <w:rFonts w:cs="Calibri"/>
        </w:rPr>
        <w:t xml:space="preserve"> wel </w:t>
      </w:r>
      <w:r w:rsidR="00856291">
        <w:rPr>
          <w:rFonts w:cs="Calibri"/>
        </w:rPr>
        <w:t xml:space="preserve">aan de nodige </w:t>
      </w:r>
      <w:r w:rsidR="00397DC9">
        <w:rPr>
          <w:rFonts w:cs="Calibri"/>
        </w:rPr>
        <w:t xml:space="preserve">wetgeving gebonden. In beginsel is </w:t>
      </w:r>
      <w:r w:rsidR="00DA6A76">
        <w:rPr>
          <w:rFonts w:cs="Calibri"/>
        </w:rPr>
        <w:t>de hoofdregel</w:t>
      </w:r>
      <w:r w:rsidR="001132EB">
        <w:rPr>
          <w:rFonts w:cs="Calibri"/>
        </w:rPr>
        <w:t xml:space="preserve"> te vinden in</w:t>
      </w:r>
      <w:r w:rsidR="00397DC9">
        <w:rPr>
          <w:rFonts w:cs="Calibri"/>
        </w:rPr>
        <w:t xml:space="preserve"> art. 6:233 sub b BW jo.</w:t>
      </w:r>
      <w:r w:rsidR="00052CDB">
        <w:rPr>
          <w:rFonts w:cs="Calibri"/>
        </w:rPr>
        <w:t xml:space="preserve"> art. 6:234 BW</w:t>
      </w:r>
      <w:r w:rsidRPr="00B04838">
        <w:rPr>
          <w:rFonts w:cs="Calibri"/>
        </w:rPr>
        <w:t>. Door de implementatie van de Dienstenrichtlijn</w:t>
      </w:r>
      <w:r w:rsidR="00412D30">
        <w:rPr>
          <w:rStyle w:val="Voetnootmarkering"/>
          <w:rFonts w:cs="Calibri"/>
        </w:rPr>
        <w:footnoteReference w:id="2"/>
      </w:r>
      <w:r w:rsidRPr="00B04838">
        <w:rPr>
          <w:rFonts w:cs="Calibri"/>
        </w:rPr>
        <w:t xml:space="preserve"> </w:t>
      </w:r>
      <w:r w:rsidR="006F1AF9">
        <w:rPr>
          <w:rFonts w:cs="Calibri"/>
        </w:rPr>
        <w:t>zijn de mogelijkheden hiervoor echter verruimd</w:t>
      </w:r>
      <w:r w:rsidRPr="00B04838">
        <w:rPr>
          <w:rFonts w:cs="Calibri"/>
        </w:rPr>
        <w:t>.</w:t>
      </w:r>
      <w:r w:rsidR="00EF2C02">
        <w:rPr>
          <w:rFonts w:cs="Calibri"/>
        </w:rPr>
        <w:t xml:space="preserve"> Het doel van de Dienstenrichtlijn is het </w:t>
      </w:r>
      <w:r w:rsidR="00215D36">
        <w:rPr>
          <w:rFonts w:cs="Calibri"/>
        </w:rPr>
        <w:t>harmoniseren van regels omtrent dienstverlening, zodat intracommunautaire dienstverlening makkelijker kan worden</w:t>
      </w:r>
      <w:r w:rsidR="00612061">
        <w:rPr>
          <w:rFonts w:cs="Calibri"/>
        </w:rPr>
        <w:t>.</w:t>
      </w:r>
      <w:r w:rsidR="00215D36">
        <w:rPr>
          <w:rFonts w:cs="Calibri"/>
        </w:rPr>
        <w:t xml:space="preserve"> </w:t>
      </w:r>
      <w:r w:rsidR="00612061">
        <w:rPr>
          <w:rFonts w:cs="Calibri"/>
        </w:rPr>
        <w:t xml:space="preserve">Dit heeft tot gevolg dat </w:t>
      </w:r>
      <w:r w:rsidR="00D0512B">
        <w:rPr>
          <w:rFonts w:cs="Calibri"/>
        </w:rPr>
        <w:t>meer concurrentie mogelijk is</w:t>
      </w:r>
      <w:r w:rsidR="000F5E45">
        <w:rPr>
          <w:rFonts w:cs="Calibri"/>
        </w:rPr>
        <w:t xml:space="preserve"> en de posities van de </w:t>
      </w:r>
      <w:r w:rsidR="0023114A">
        <w:rPr>
          <w:rFonts w:cs="Calibri"/>
        </w:rPr>
        <w:t>bedrijven en consumenten worden versterkt.</w:t>
      </w:r>
      <w:r w:rsidR="00D0512B">
        <w:rPr>
          <w:rStyle w:val="Voetnootmarkering"/>
          <w:rFonts w:cs="Calibri"/>
        </w:rPr>
        <w:footnoteReference w:id="3"/>
      </w:r>
      <w:r w:rsidRPr="00B04838">
        <w:rPr>
          <w:rFonts w:cs="Calibri"/>
        </w:rPr>
        <w:t xml:space="preserve"> </w:t>
      </w:r>
      <w:r w:rsidR="00F3496F">
        <w:rPr>
          <w:rFonts w:cs="Calibri"/>
        </w:rPr>
        <w:t xml:space="preserve">Het </w:t>
      </w:r>
      <w:r w:rsidR="006725ED">
        <w:rPr>
          <w:rFonts w:cs="Calibri"/>
        </w:rPr>
        <w:t>toegankelijk maken</w:t>
      </w:r>
      <w:r w:rsidR="0058529F" w:rsidRPr="00B04838">
        <w:rPr>
          <w:rFonts w:cs="Calibri"/>
        </w:rPr>
        <w:t xml:space="preserve"> van informatie</w:t>
      </w:r>
      <w:r w:rsidRPr="00B04838">
        <w:rPr>
          <w:rFonts w:cs="Calibri"/>
        </w:rPr>
        <w:t xml:space="preserve"> voor dienstverrichters </w:t>
      </w:r>
      <w:r w:rsidR="00F3496F">
        <w:rPr>
          <w:rFonts w:cs="Calibri"/>
        </w:rPr>
        <w:t xml:space="preserve">is </w:t>
      </w:r>
      <w:r w:rsidR="00D55CEF">
        <w:rPr>
          <w:rFonts w:cs="Calibri"/>
        </w:rPr>
        <w:t>geïmplementeerd</w:t>
      </w:r>
      <w:r w:rsidR="00966952">
        <w:rPr>
          <w:rFonts w:cs="Calibri"/>
        </w:rPr>
        <w:t xml:space="preserve"> </w:t>
      </w:r>
      <w:r w:rsidR="0058529F" w:rsidRPr="00B04838">
        <w:rPr>
          <w:rFonts w:cs="Calibri"/>
        </w:rPr>
        <w:t xml:space="preserve">in </w:t>
      </w:r>
      <w:r w:rsidR="00D55CEF">
        <w:rPr>
          <w:rFonts w:cs="Calibri"/>
        </w:rPr>
        <w:t>afdeling 6.5.2A</w:t>
      </w:r>
      <w:r w:rsidR="0058529F" w:rsidRPr="00B04838">
        <w:rPr>
          <w:rFonts w:cs="Calibri"/>
        </w:rPr>
        <w:t xml:space="preserve"> BW</w:t>
      </w:r>
      <w:r w:rsidR="0058529F" w:rsidRPr="00F814F8">
        <w:rPr>
          <w:rFonts w:cs="Calibri"/>
          <w:color w:val="000000" w:themeColor="text1"/>
        </w:rPr>
        <w:t>.</w:t>
      </w:r>
      <w:r w:rsidR="00E36E33" w:rsidRPr="00F814F8">
        <w:rPr>
          <w:rFonts w:cs="Calibri"/>
          <w:color w:val="000000" w:themeColor="text1"/>
        </w:rPr>
        <w:t xml:space="preserve"> </w:t>
      </w:r>
      <w:r w:rsidR="000D52D6" w:rsidRPr="00F814F8">
        <w:rPr>
          <w:rFonts w:cs="Calibri"/>
          <w:color w:val="000000" w:themeColor="text1"/>
        </w:rPr>
        <w:t>In art. 6:234 lid 1 BW zijn dienst</w:t>
      </w:r>
      <w:r w:rsidR="0032177B" w:rsidRPr="00F814F8">
        <w:rPr>
          <w:rFonts w:cs="Calibri"/>
          <w:color w:val="000000" w:themeColor="text1"/>
        </w:rPr>
        <w:t>verrichters vrijgesteld van de eisen van art. 6:234 BW met een verwijzing naar art. 6:230c BW om zo te voorkomen dat er een overlap komt tussen de twee artikelen.</w:t>
      </w:r>
      <w:r w:rsidR="006A66DF" w:rsidRPr="00F814F8">
        <w:rPr>
          <w:rStyle w:val="Voetnootmarkering"/>
          <w:rFonts w:cs="Calibri"/>
          <w:color w:val="000000" w:themeColor="text1"/>
        </w:rPr>
        <w:footnoteReference w:id="4"/>
      </w:r>
    </w:p>
    <w:p w14:paraId="25511844" w14:textId="4D8ABF43" w:rsidR="00E36E33" w:rsidRPr="00B04838" w:rsidRDefault="00E36E33" w:rsidP="00196BD8">
      <w:pPr>
        <w:spacing w:line="276" w:lineRule="auto"/>
        <w:jc w:val="both"/>
        <w:rPr>
          <w:rFonts w:cs="Calibri"/>
          <w:color w:val="FF0000"/>
        </w:rPr>
      </w:pPr>
      <w:r w:rsidRPr="00B04838">
        <w:rPr>
          <w:rFonts w:cs="Calibri"/>
        </w:rPr>
        <w:t xml:space="preserve">Het begrip ‘dienstverrichter’ moet richtlijnconform worden uitgelegd. Volgens art. 4 sub 2 van de Dienstenrichtlijn is een dienstverrichter ‘ieder natuurlijk persoon die onderdaan is van een lidstaat of iedere rechtspersoon die in een lidstaat is gevestigd en een dienst aanbiedt of verricht.’  Het begrip dienst wordt in art. 4 lid 1 gedefinieerd als ‘elke economische activiteit anders dan in loondienst, die gewoonlijk tegen vergoeding geschiedt.’ </w:t>
      </w:r>
      <w:r w:rsidR="00B85439">
        <w:rPr>
          <w:rFonts w:cs="Calibri"/>
        </w:rPr>
        <w:t xml:space="preserve"> Denk hierbij aan een </w:t>
      </w:r>
      <w:r w:rsidR="00F26DCA">
        <w:rPr>
          <w:rFonts w:cs="Calibri"/>
        </w:rPr>
        <w:t xml:space="preserve">kapper die iemands haren knipt of een advocaat die een </w:t>
      </w:r>
      <w:r w:rsidR="006E1019">
        <w:rPr>
          <w:rFonts w:cs="Calibri"/>
        </w:rPr>
        <w:t xml:space="preserve">cliënt bijstaat in de </w:t>
      </w:r>
      <w:r w:rsidR="00C91E30">
        <w:rPr>
          <w:rFonts w:cs="Calibri"/>
        </w:rPr>
        <w:t>rechtszaal</w:t>
      </w:r>
      <w:r w:rsidR="00110685">
        <w:rPr>
          <w:rFonts w:cs="Calibri"/>
        </w:rPr>
        <w:t>.</w:t>
      </w:r>
      <w:r w:rsidR="00FC7230">
        <w:rPr>
          <w:rFonts w:cs="Calibri"/>
        </w:rPr>
        <w:t xml:space="preserve"> </w:t>
      </w:r>
      <w:r w:rsidRPr="00B04838">
        <w:rPr>
          <w:rFonts w:cs="Calibri"/>
        </w:rPr>
        <w:t xml:space="preserve">Artikel 2 van de </w:t>
      </w:r>
      <w:r w:rsidR="00EE2ACE">
        <w:rPr>
          <w:rFonts w:cs="Calibri"/>
        </w:rPr>
        <w:t>D</w:t>
      </w:r>
      <w:r w:rsidRPr="00B04838">
        <w:rPr>
          <w:rFonts w:cs="Calibri"/>
        </w:rPr>
        <w:t xml:space="preserve">ienstenrichtlijn bepaalt in welke gevallen de dienstenrichtlijn sowieso niet van toepassing is. </w:t>
      </w:r>
    </w:p>
    <w:p w14:paraId="6C4E5618" w14:textId="1DA494B6" w:rsidR="00936676" w:rsidRDefault="0058529F" w:rsidP="00196BD8">
      <w:pPr>
        <w:spacing w:line="276" w:lineRule="auto"/>
        <w:jc w:val="both"/>
        <w:rPr>
          <w:rFonts w:cs="Calibri"/>
        </w:rPr>
      </w:pPr>
      <w:r w:rsidRPr="00B04838">
        <w:rPr>
          <w:rFonts w:cs="Calibri"/>
        </w:rPr>
        <w:t xml:space="preserve">De </w:t>
      </w:r>
      <w:r w:rsidR="00E36E33" w:rsidRPr="00B04838">
        <w:rPr>
          <w:rFonts w:cs="Calibri"/>
        </w:rPr>
        <w:t xml:space="preserve">dienstverrichter </w:t>
      </w:r>
      <w:r w:rsidR="006C6E0E">
        <w:rPr>
          <w:rFonts w:cs="Calibri"/>
        </w:rPr>
        <w:t>geeft de wederpartij</w:t>
      </w:r>
      <w:r w:rsidR="00E36E33" w:rsidRPr="00B04838">
        <w:rPr>
          <w:rFonts w:cs="Calibri"/>
        </w:rPr>
        <w:t xml:space="preserve"> onder 6:230c BW vier verschillende opties om de </w:t>
      </w:r>
      <w:r w:rsidR="006C6E0E">
        <w:rPr>
          <w:rFonts w:cs="Calibri"/>
        </w:rPr>
        <w:t>toegang te krijgen tot de</w:t>
      </w:r>
      <w:r w:rsidR="00D60936">
        <w:rPr>
          <w:rFonts w:cs="Calibri"/>
        </w:rPr>
        <w:t xml:space="preserve"> </w:t>
      </w:r>
      <w:r w:rsidR="00E36E33" w:rsidRPr="00B04838">
        <w:rPr>
          <w:rFonts w:cs="Calibri"/>
        </w:rPr>
        <w:t xml:space="preserve">algemene voorwaarden. Dit kan onder meer door de informatie gemakkelijk beschikbaar te hebben op de plaats waar de dienst wordt verricht of door de informatie gemakkelijk toegankelijk te maken op een aan de afnemer medegedeeld elektronisch adres. Hiermee is de informatieplicht van art. 6:230c BW met betrekking tot algemene voorwaarden voor dienstverleners aanmerkelijk versoepeld ten opzichte van </w:t>
      </w:r>
      <w:r w:rsidR="00E36E33" w:rsidRPr="00B04838">
        <w:rPr>
          <w:rFonts w:cs="Calibri"/>
        </w:rPr>
        <w:lastRenderedPageBreak/>
        <w:t>art. 6:234 BW.</w:t>
      </w:r>
      <w:r w:rsidR="00E36E33" w:rsidRPr="00B04838">
        <w:rPr>
          <w:rStyle w:val="Voetnootmarkering"/>
          <w:rFonts w:cs="Calibri"/>
        </w:rPr>
        <w:footnoteReference w:id="5"/>
      </w:r>
      <w:r w:rsidR="00E36E33" w:rsidRPr="00B04838">
        <w:rPr>
          <w:rFonts w:cs="Calibri"/>
        </w:rPr>
        <w:t xml:space="preserve"> </w:t>
      </w:r>
      <w:r w:rsidR="00AE4587">
        <w:rPr>
          <w:rFonts w:cs="Calibri"/>
        </w:rPr>
        <w:t xml:space="preserve"> </w:t>
      </w:r>
      <w:r w:rsidR="00966E84">
        <w:rPr>
          <w:rFonts w:cs="Calibri"/>
        </w:rPr>
        <w:t>Het (online) beschikbaar stellen van algemene voorwaarden</w:t>
      </w:r>
      <w:r w:rsidR="00E36E33" w:rsidRPr="00B04838">
        <w:rPr>
          <w:rFonts w:cs="Calibri"/>
        </w:rPr>
        <w:t xml:space="preserve"> v</w:t>
      </w:r>
      <w:r w:rsidR="00AC6D3D">
        <w:rPr>
          <w:rFonts w:cs="Calibri"/>
        </w:rPr>
        <w:t>óó</w:t>
      </w:r>
      <w:r w:rsidR="00E36E33" w:rsidRPr="00B04838">
        <w:rPr>
          <w:rFonts w:cs="Calibri"/>
        </w:rPr>
        <w:t xml:space="preserve">r of bij het sluiten van de overeenkomst is niet altijd meer nodig en ook de vereisten van de leden van art. 6:234 lid 2 en 3 BW ten aanzien van elektronische algemene voorwaarden gelden </w:t>
      </w:r>
      <w:r w:rsidR="00AC6D3D">
        <w:rPr>
          <w:rFonts w:cs="Calibri"/>
        </w:rPr>
        <w:t xml:space="preserve">voor dienstverrichters </w:t>
      </w:r>
      <w:r w:rsidR="00E36E33" w:rsidRPr="00B04838">
        <w:rPr>
          <w:rFonts w:cs="Calibri"/>
        </w:rPr>
        <w:t xml:space="preserve">niet. Zowel bij elektronische als niet-elektronische overeenkomsten kan worden volstaan met het mededelen van een webadres waar de voorwaarden beschikbaar zijn. </w:t>
      </w:r>
    </w:p>
    <w:p w14:paraId="7851DA23" w14:textId="28D37609" w:rsidR="00444394" w:rsidRPr="00B04838" w:rsidRDefault="00E36E33" w:rsidP="00196BD8">
      <w:pPr>
        <w:spacing w:line="276" w:lineRule="auto"/>
        <w:jc w:val="both"/>
        <w:rPr>
          <w:rFonts w:cs="Calibri"/>
        </w:rPr>
      </w:pPr>
      <w:r w:rsidRPr="00B04838">
        <w:rPr>
          <w:rFonts w:cs="Calibri"/>
        </w:rPr>
        <w:t>Op grond van art. 6:234 BW is het gebruik van elektronische algemene voorwaarden slechts toegestaan in geval van elektronische overeenkomsten of met uitdrukkelijke instemming van de wederpartij. Daarnaast is alleen het mededelen van een webadres onvoldoende; de elektronische algemene voorwaarden dienen zodanig verstrekt te worden dat de wederpartij ze kan weergeven en opslaan.</w:t>
      </w:r>
      <w:r w:rsidRPr="00B04838">
        <w:rPr>
          <w:rStyle w:val="Voetnootmarkering"/>
          <w:rFonts w:cs="Calibri"/>
        </w:rPr>
        <w:footnoteReference w:id="6"/>
      </w:r>
      <w:r w:rsidR="00603433">
        <w:rPr>
          <w:rFonts w:cs="Calibri"/>
        </w:rPr>
        <w:t xml:space="preserve"> Verder be</w:t>
      </w:r>
      <w:r w:rsidR="00ED5D67">
        <w:rPr>
          <w:rFonts w:cs="Calibri"/>
        </w:rPr>
        <w:t>vat art. 6:230</w:t>
      </w:r>
      <w:r w:rsidR="00ED5D67" w:rsidRPr="00ED5D67">
        <w:rPr>
          <w:rFonts w:cs="Calibri"/>
        </w:rPr>
        <w:t>e</w:t>
      </w:r>
      <w:r w:rsidR="00ED5D67">
        <w:rPr>
          <w:rFonts w:cs="Calibri"/>
        </w:rPr>
        <w:t xml:space="preserve"> ook een versoepeling ten opzichte van 6:234 BW. Art. 6:230</w:t>
      </w:r>
      <w:r w:rsidR="00ED5D67" w:rsidRPr="00231126">
        <w:rPr>
          <w:rFonts w:cs="Calibri"/>
        </w:rPr>
        <w:t>e</w:t>
      </w:r>
      <w:r w:rsidR="00ED5D67">
        <w:rPr>
          <w:rFonts w:cs="Calibri"/>
        </w:rPr>
        <w:t xml:space="preserve"> BW bepaalt namelijk dat </w:t>
      </w:r>
      <w:r w:rsidR="00681FCC">
        <w:rPr>
          <w:rFonts w:cs="Calibri"/>
        </w:rPr>
        <w:t xml:space="preserve">bij niet-schriftelijke overeenkomsten het is toegestaan </w:t>
      </w:r>
      <w:r w:rsidR="00082594">
        <w:rPr>
          <w:rFonts w:cs="Calibri"/>
        </w:rPr>
        <w:t xml:space="preserve">de informatie als bedoeld in art. 6:230b BW (waaronder algemene voorwaarden) te verstrekken uiterlijk voor aanvang van de </w:t>
      </w:r>
      <w:r w:rsidR="00AF4BBD">
        <w:rPr>
          <w:rFonts w:cs="Calibri"/>
        </w:rPr>
        <w:t>verstrekking van de dienst. Dit is een verruiming ten opzichte van art. 6:234 BW dat bepaalt dat</w:t>
      </w:r>
      <w:r w:rsidR="00996653">
        <w:rPr>
          <w:rFonts w:cs="Calibri"/>
        </w:rPr>
        <w:t xml:space="preserve"> algemene voorwaarden </w:t>
      </w:r>
      <w:r w:rsidR="00C91BD4">
        <w:rPr>
          <w:rFonts w:cs="Calibri"/>
        </w:rPr>
        <w:t>‘voor of bij het sluiten van de overeenkomst’ moet worden geboden.</w:t>
      </w:r>
      <w:r w:rsidR="00C91BD4">
        <w:rPr>
          <w:rStyle w:val="Voetnootmarkering"/>
          <w:rFonts w:cs="Calibri"/>
        </w:rPr>
        <w:footnoteReference w:id="7"/>
      </w:r>
      <w:r w:rsidR="00BE2CDF">
        <w:rPr>
          <w:rFonts w:cs="Calibri"/>
        </w:rPr>
        <w:t xml:space="preserve"> </w:t>
      </w:r>
      <w:r w:rsidR="0046379F" w:rsidRPr="00B04838">
        <w:rPr>
          <w:rFonts w:cs="Calibri"/>
        </w:rPr>
        <w:t xml:space="preserve"> </w:t>
      </w:r>
    </w:p>
    <w:p w14:paraId="169B6807" w14:textId="7FF1EAAE" w:rsidR="001B34C6" w:rsidRPr="00915A01" w:rsidRDefault="001B34C6" w:rsidP="00196BD8">
      <w:pPr>
        <w:pStyle w:val="Lijstalinea"/>
        <w:numPr>
          <w:ilvl w:val="1"/>
          <w:numId w:val="5"/>
        </w:numPr>
        <w:spacing w:line="276" w:lineRule="auto"/>
        <w:jc w:val="both"/>
        <w:rPr>
          <w:rFonts w:cs="Calibri"/>
          <w:b/>
          <w:bCs/>
        </w:rPr>
      </w:pPr>
      <w:r w:rsidRPr="00915A01">
        <w:rPr>
          <w:rFonts w:cs="Calibri"/>
          <w:b/>
          <w:bCs/>
        </w:rPr>
        <w:t>Opbouw van het onderzoeksprobleem</w:t>
      </w:r>
    </w:p>
    <w:p w14:paraId="5C3C4F10" w14:textId="7B909F6C" w:rsidR="007E63C2" w:rsidRDefault="00C51939" w:rsidP="00196BD8">
      <w:pPr>
        <w:spacing w:line="276" w:lineRule="auto"/>
        <w:jc w:val="both"/>
        <w:rPr>
          <w:rFonts w:cs="Calibri"/>
        </w:rPr>
      </w:pPr>
      <w:r w:rsidRPr="00B04838">
        <w:rPr>
          <w:rFonts w:cs="Calibri"/>
        </w:rPr>
        <w:t xml:space="preserve">In 2018 heeft het Europees Hof van </w:t>
      </w:r>
      <w:r w:rsidR="00123D77" w:rsidRPr="00B04838">
        <w:rPr>
          <w:rFonts w:cs="Calibri"/>
        </w:rPr>
        <w:t>Justitie</w:t>
      </w:r>
      <w:r w:rsidRPr="00B04838">
        <w:rPr>
          <w:rFonts w:cs="Calibri"/>
        </w:rPr>
        <w:t xml:space="preserve"> </w:t>
      </w:r>
      <w:r w:rsidR="00E87AA3">
        <w:rPr>
          <w:rFonts w:cs="Calibri"/>
        </w:rPr>
        <w:t xml:space="preserve">(Hierna HVJ EU) </w:t>
      </w:r>
      <w:r w:rsidRPr="00B04838">
        <w:rPr>
          <w:rFonts w:cs="Calibri"/>
        </w:rPr>
        <w:t xml:space="preserve">antwoord gegeven op de vraag hoever de reikwijdte van </w:t>
      </w:r>
      <w:r w:rsidR="00FB7D4D" w:rsidRPr="00B04838">
        <w:rPr>
          <w:rFonts w:cs="Calibri"/>
        </w:rPr>
        <w:t xml:space="preserve">de </w:t>
      </w:r>
      <w:r w:rsidR="002F11CF">
        <w:rPr>
          <w:rFonts w:cs="Calibri"/>
        </w:rPr>
        <w:t>D</w:t>
      </w:r>
      <w:r w:rsidRPr="00B04838">
        <w:rPr>
          <w:rFonts w:cs="Calibri"/>
        </w:rPr>
        <w:t>ienstenrichtlijn</w:t>
      </w:r>
      <w:r w:rsidR="003919A6" w:rsidRPr="00B04838">
        <w:rPr>
          <w:rFonts w:cs="Calibri"/>
        </w:rPr>
        <w:t xml:space="preserve"> </w:t>
      </w:r>
      <w:r w:rsidR="00123D77" w:rsidRPr="00B04838">
        <w:rPr>
          <w:rFonts w:cs="Calibri"/>
        </w:rPr>
        <w:t xml:space="preserve">gaat. Detailhandel is handel in goederen, </w:t>
      </w:r>
      <w:r w:rsidR="005F3567">
        <w:rPr>
          <w:rFonts w:cs="Calibri"/>
        </w:rPr>
        <w:t>maar, kort</w:t>
      </w:r>
      <w:r w:rsidR="00B75040">
        <w:rPr>
          <w:rFonts w:cs="Calibri"/>
        </w:rPr>
        <w:t xml:space="preserve"> gezegd, kan detailhandel </w:t>
      </w:r>
      <w:r w:rsidR="00D842CE">
        <w:rPr>
          <w:rFonts w:cs="Calibri"/>
        </w:rPr>
        <w:t xml:space="preserve">sinds deze uitspraak </w:t>
      </w:r>
      <w:r w:rsidR="001646FC">
        <w:rPr>
          <w:rFonts w:cs="Calibri"/>
        </w:rPr>
        <w:t>onder omstandigheden</w:t>
      </w:r>
      <w:r w:rsidR="00C10F03">
        <w:rPr>
          <w:rFonts w:cs="Calibri"/>
        </w:rPr>
        <w:t xml:space="preserve"> ook</w:t>
      </w:r>
      <w:r w:rsidR="001646FC">
        <w:rPr>
          <w:rFonts w:cs="Calibri"/>
        </w:rPr>
        <w:t xml:space="preserve"> aangemerkt worden als dienst.</w:t>
      </w:r>
      <w:r w:rsidR="007D59A7" w:rsidRPr="00B04838">
        <w:rPr>
          <w:rStyle w:val="Voetnootmarkering"/>
          <w:rFonts w:cs="Calibri"/>
        </w:rPr>
        <w:footnoteReference w:id="8"/>
      </w:r>
      <w:r w:rsidR="00FB7D4D" w:rsidRPr="00B04838">
        <w:rPr>
          <w:rFonts w:cs="Calibri"/>
        </w:rPr>
        <w:t xml:space="preserve"> </w:t>
      </w:r>
      <w:r w:rsidR="00784D5F">
        <w:rPr>
          <w:rFonts w:cs="Calibri"/>
        </w:rPr>
        <w:t xml:space="preserve">In dat geval moeten de algemene voorwaarden worden verstrekt </w:t>
      </w:r>
      <w:r w:rsidR="00626E2E">
        <w:rPr>
          <w:rFonts w:cs="Calibri"/>
        </w:rPr>
        <w:t>op grond van</w:t>
      </w:r>
      <w:r w:rsidR="00784D5F">
        <w:rPr>
          <w:rFonts w:cs="Calibri"/>
        </w:rPr>
        <w:t xml:space="preserve"> 6:230c BW en niet</w:t>
      </w:r>
      <w:r w:rsidR="00626E2E">
        <w:rPr>
          <w:rFonts w:cs="Calibri"/>
        </w:rPr>
        <w:t xml:space="preserve"> op grond van art.</w:t>
      </w:r>
      <w:r w:rsidR="00784D5F">
        <w:rPr>
          <w:rFonts w:cs="Calibri"/>
        </w:rPr>
        <w:t xml:space="preserve"> 6:234 BW</w:t>
      </w:r>
      <w:r w:rsidR="003039E6" w:rsidRPr="00B04838">
        <w:rPr>
          <w:rFonts w:cs="Calibri"/>
        </w:rPr>
        <w:t xml:space="preserve">. </w:t>
      </w:r>
      <w:r w:rsidR="00FB7D4D" w:rsidRPr="00B04838">
        <w:rPr>
          <w:rFonts w:cs="Calibri"/>
        </w:rPr>
        <w:t xml:space="preserve"> Na deze uitspraak rees de vraag of groothandels</w:t>
      </w:r>
      <w:r w:rsidR="001A497B">
        <w:rPr>
          <w:rFonts w:cs="Calibri"/>
        </w:rPr>
        <w:t xml:space="preserve"> </w:t>
      </w:r>
      <w:r w:rsidR="00FB7D4D" w:rsidRPr="00B04838">
        <w:rPr>
          <w:rFonts w:cs="Calibri"/>
        </w:rPr>
        <w:t>volgens de Dienstenrichtlijn</w:t>
      </w:r>
      <w:r w:rsidR="00345441">
        <w:rPr>
          <w:rFonts w:cs="Calibri"/>
        </w:rPr>
        <w:t xml:space="preserve"> </w:t>
      </w:r>
      <w:r w:rsidR="00345441" w:rsidRPr="00B04838">
        <w:rPr>
          <w:rFonts w:cs="Calibri"/>
        </w:rPr>
        <w:t>ook onder dienst</w:t>
      </w:r>
      <w:r w:rsidR="00345441">
        <w:rPr>
          <w:rFonts w:cs="Calibri"/>
        </w:rPr>
        <w:t>verrichters</w:t>
      </w:r>
      <w:r w:rsidR="00345441" w:rsidRPr="00B04838">
        <w:rPr>
          <w:rFonts w:cs="Calibri"/>
        </w:rPr>
        <w:t xml:space="preserve"> vielen</w:t>
      </w:r>
      <w:r w:rsidR="00FB7D4D" w:rsidRPr="00B04838">
        <w:rPr>
          <w:rFonts w:cs="Calibri"/>
        </w:rPr>
        <w:t>. In 2023 is deze vraag bevestigend beantwoord door de Hoge Raad.</w:t>
      </w:r>
      <w:r w:rsidR="00FB7D4D" w:rsidRPr="00B04838">
        <w:rPr>
          <w:rStyle w:val="Voetnootmarkering"/>
          <w:rFonts w:cs="Calibri"/>
        </w:rPr>
        <w:footnoteReference w:id="9"/>
      </w:r>
      <w:r w:rsidR="000F3E2B" w:rsidRPr="00B04838">
        <w:rPr>
          <w:rFonts w:cs="Calibri"/>
        </w:rPr>
        <w:t xml:space="preserve"> </w:t>
      </w:r>
      <w:r w:rsidR="00127C59">
        <w:rPr>
          <w:rFonts w:cs="Calibri"/>
        </w:rPr>
        <w:t>Als gevolg van deze uitspraken zal a</w:t>
      </w:r>
      <w:r w:rsidR="000F3E2B" w:rsidRPr="00B04838">
        <w:rPr>
          <w:rFonts w:cs="Calibri"/>
        </w:rPr>
        <w:t>rt. 6:234 BW zal een</w:t>
      </w:r>
      <w:r w:rsidR="00127C59">
        <w:rPr>
          <w:rFonts w:cs="Calibri"/>
        </w:rPr>
        <w:t xml:space="preserve"> zeer</w:t>
      </w:r>
      <w:r w:rsidR="000F3E2B" w:rsidRPr="00B04838">
        <w:rPr>
          <w:rFonts w:cs="Calibri"/>
        </w:rPr>
        <w:t xml:space="preserve"> groot toepassingsbereik verliezen</w:t>
      </w:r>
      <w:r w:rsidR="002057EC">
        <w:rPr>
          <w:rFonts w:cs="Calibri"/>
        </w:rPr>
        <w:t xml:space="preserve">. </w:t>
      </w:r>
    </w:p>
    <w:p w14:paraId="2B042B4C" w14:textId="5D30B6EE" w:rsidR="00E135FA" w:rsidRDefault="00E135FA" w:rsidP="00196BD8">
      <w:pPr>
        <w:spacing w:line="276" w:lineRule="auto"/>
        <w:jc w:val="both"/>
        <w:rPr>
          <w:rFonts w:cs="Calibri"/>
        </w:rPr>
      </w:pPr>
      <w:r>
        <w:rPr>
          <w:rFonts w:cs="Calibri"/>
        </w:rPr>
        <w:t xml:space="preserve">In de praktijk moet zorgvuldig worden omgegaan met het gebruik van algemene voorwaarden. </w:t>
      </w:r>
      <w:r w:rsidR="004956E3">
        <w:rPr>
          <w:rFonts w:cs="Calibri"/>
        </w:rPr>
        <w:t>Een kleine fout</w:t>
      </w:r>
      <w:r w:rsidR="00312149">
        <w:rPr>
          <w:rFonts w:cs="Calibri"/>
        </w:rPr>
        <w:t>, zoals het niet juist of tijdig terhandstellen van de algemene voorwaarden</w:t>
      </w:r>
      <w:r w:rsidR="003F016E">
        <w:rPr>
          <w:rFonts w:cs="Calibri"/>
        </w:rPr>
        <w:t xml:space="preserve">, </w:t>
      </w:r>
      <w:r w:rsidR="00F35974">
        <w:rPr>
          <w:rFonts w:cs="Calibri"/>
        </w:rPr>
        <w:t xml:space="preserve">kan leiden tot vernietiging van de </w:t>
      </w:r>
      <w:r w:rsidR="00900D1D">
        <w:rPr>
          <w:rFonts w:cs="Calibri"/>
        </w:rPr>
        <w:t xml:space="preserve">gehele </w:t>
      </w:r>
      <w:r w:rsidR="00F35974">
        <w:rPr>
          <w:rFonts w:cs="Calibri"/>
        </w:rPr>
        <w:t>algemene voorwaarden.</w:t>
      </w:r>
      <w:r w:rsidR="00900D1D">
        <w:rPr>
          <w:rStyle w:val="Voetnootmarkering"/>
          <w:rFonts w:cs="Calibri"/>
        </w:rPr>
        <w:footnoteReference w:id="10"/>
      </w:r>
      <w:r w:rsidR="00F35974">
        <w:rPr>
          <w:rFonts w:cs="Calibri"/>
        </w:rPr>
        <w:t xml:space="preserve"> </w:t>
      </w:r>
      <w:r w:rsidR="0041228F">
        <w:rPr>
          <w:rFonts w:cs="Calibri"/>
        </w:rPr>
        <w:t xml:space="preserve">Een beroep op </w:t>
      </w:r>
      <w:r w:rsidR="00596DF6">
        <w:rPr>
          <w:rFonts w:cs="Calibri"/>
        </w:rPr>
        <w:t xml:space="preserve">bijvoorbeeld een exoneratiebeding in de algemene voorwaarden </w:t>
      </w:r>
      <w:r w:rsidR="0041228F">
        <w:rPr>
          <w:rFonts w:cs="Calibri"/>
        </w:rPr>
        <w:t>kan dan niet</w:t>
      </w:r>
      <w:r w:rsidR="00596DF6">
        <w:rPr>
          <w:rFonts w:cs="Calibri"/>
        </w:rPr>
        <w:t xml:space="preserve"> meer plaatsvinden.</w:t>
      </w:r>
      <w:r w:rsidR="00596DF6">
        <w:rPr>
          <w:rStyle w:val="Voetnootmarkering"/>
          <w:rFonts w:cs="Calibri"/>
        </w:rPr>
        <w:footnoteReference w:id="11"/>
      </w:r>
      <w:r w:rsidR="000A06A9">
        <w:rPr>
          <w:rFonts w:cs="Calibri"/>
        </w:rPr>
        <w:t xml:space="preserve"> </w:t>
      </w:r>
      <w:r w:rsidR="00CB67D1">
        <w:rPr>
          <w:rFonts w:cs="Calibri"/>
        </w:rPr>
        <w:t>Door de extra vereisten in art. 6:234 BW is het voor niet-dienstverrich</w:t>
      </w:r>
      <w:r w:rsidR="00677B65">
        <w:rPr>
          <w:rFonts w:cs="Calibri"/>
        </w:rPr>
        <w:t>t</w:t>
      </w:r>
      <w:r w:rsidR="00CB67D1">
        <w:rPr>
          <w:rFonts w:cs="Calibri"/>
        </w:rPr>
        <w:t>ers een zwaardere last om aan deze verant</w:t>
      </w:r>
      <w:r w:rsidR="00036605">
        <w:rPr>
          <w:rFonts w:cs="Calibri"/>
        </w:rPr>
        <w:t xml:space="preserve">woordelijkheid te voldoen. </w:t>
      </w:r>
    </w:p>
    <w:p w14:paraId="7A8548C3" w14:textId="42E85EA1" w:rsidR="001223EE" w:rsidRDefault="00E63FA9" w:rsidP="00196BD8">
      <w:pPr>
        <w:spacing w:line="276" w:lineRule="auto"/>
        <w:jc w:val="both"/>
        <w:rPr>
          <w:rFonts w:cs="Calibri"/>
        </w:rPr>
      </w:pPr>
      <w:r>
        <w:rPr>
          <w:rFonts w:cs="Calibri"/>
        </w:rPr>
        <w:lastRenderedPageBreak/>
        <w:t xml:space="preserve">Voorts </w:t>
      </w:r>
      <w:r w:rsidR="005C241D">
        <w:rPr>
          <w:rFonts w:cs="Calibri"/>
        </w:rPr>
        <w:t xml:space="preserve">kan de </w:t>
      </w:r>
      <w:r w:rsidR="003E1D03">
        <w:rPr>
          <w:rFonts w:cs="Calibri"/>
        </w:rPr>
        <w:t xml:space="preserve">verwoording van de </w:t>
      </w:r>
      <w:r w:rsidR="005C241D">
        <w:rPr>
          <w:rFonts w:cs="Calibri"/>
        </w:rPr>
        <w:t xml:space="preserve">verwijzing naar de </w:t>
      </w:r>
      <w:r w:rsidR="002F11CF">
        <w:rPr>
          <w:rFonts w:cs="Calibri"/>
        </w:rPr>
        <w:t>D</w:t>
      </w:r>
      <w:r w:rsidR="005C241D">
        <w:rPr>
          <w:rFonts w:cs="Calibri"/>
        </w:rPr>
        <w:t>ienstenrichtlijn in art. 6:234 lid 1 BW de vraag oproepen</w:t>
      </w:r>
      <w:r w:rsidR="003E1D03">
        <w:rPr>
          <w:rFonts w:cs="Calibri"/>
        </w:rPr>
        <w:t xml:space="preserve"> of</w:t>
      </w:r>
      <w:r w:rsidR="00725287">
        <w:rPr>
          <w:rFonts w:cs="Calibri"/>
        </w:rPr>
        <w:t xml:space="preserve"> art.</w:t>
      </w:r>
      <w:r w:rsidR="003E1D03">
        <w:rPr>
          <w:rFonts w:cs="Calibri"/>
        </w:rPr>
        <w:t xml:space="preserve"> 6:230c</w:t>
      </w:r>
      <w:r w:rsidR="00806455">
        <w:rPr>
          <w:rFonts w:cs="Calibri"/>
        </w:rPr>
        <w:t xml:space="preserve"> </w:t>
      </w:r>
      <w:r w:rsidR="003E1D03">
        <w:rPr>
          <w:rFonts w:cs="Calibri"/>
        </w:rPr>
        <w:t xml:space="preserve">uitsluitend geldt voor dienstverrichters of </w:t>
      </w:r>
      <w:r w:rsidR="00B47C8F">
        <w:rPr>
          <w:rFonts w:cs="Calibri"/>
        </w:rPr>
        <w:t>dat het gebruik mogelijk is voor alle gebruikers.</w:t>
      </w:r>
      <w:r w:rsidR="00F5796A">
        <w:rPr>
          <w:rFonts w:cs="Calibri"/>
        </w:rPr>
        <w:t xml:space="preserve"> Daar komt bij dat het onderscheid tussen dienstverrichters en niet-dienstverrichters niet </w:t>
      </w:r>
      <w:r w:rsidR="00525861">
        <w:rPr>
          <w:rFonts w:cs="Calibri"/>
        </w:rPr>
        <w:t xml:space="preserve">steeds </w:t>
      </w:r>
      <w:r w:rsidR="00F5796A">
        <w:rPr>
          <w:rFonts w:cs="Calibri"/>
        </w:rPr>
        <w:t>eenduidig</w:t>
      </w:r>
      <w:r w:rsidR="00525861">
        <w:rPr>
          <w:rFonts w:cs="Calibri"/>
        </w:rPr>
        <w:t xml:space="preserve"> is en makkelijk</w:t>
      </w:r>
      <w:r w:rsidR="00496CB9" w:rsidRPr="00496CB9">
        <w:rPr>
          <w:rFonts w:cs="Calibri"/>
        </w:rPr>
        <w:t xml:space="preserve"> </w:t>
      </w:r>
      <w:r w:rsidR="00496CB9">
        <w:rPr>
          <w:rFonts w:cs="Calibri"/>
        </w:rPr>
        <w:t>aanleiding geeft</w:t>
      </w:r>
      <w:r w:rsidR="00525861">
        <w:rPr>
          <w:rFonts w:cs="Calibri"/>
        </w:rPr>
        <w:t xml:space="preserve"> tot rechtsonzekerheid.</w:t>
      </w:r>
      <w:r w:rsidR="000F7783">
        <w:rPr>
          <w:rFonts w:cs="Calibri"/>
        </w:rPr>
        <w:t xml:space="preserve"> Kortom er is veel onduidelijkheid over de </w:t>
      </w:r>
      <w:r w:rsidR="00556877">
        <w:rPr>
          <w:rFonts w:cs="Calibri"/>
        </w:rPr>
        <w:t>reikwijdte</w:t>
      </w:r>
      <w:r w:rsidR="000F7783">
        <w:rPr>
          <w:rFonts w:cs="Calibri"/>
        </w:rPr>
        <w:t xml:space="preserve"> van art. 6:234 BW</w:t>
      </w:r>
      <w:r w:rsidR="00130F6D">
        <w:rPr>
          <w:rFonts w:cs="Calibri"/>
        </w:rPr>
        <w:t>.</w:t>
      </w:r>
      <w:r w:rsidR="00130F6D">
        <w:rPr>
          <w:rStyle w:val="Voetnootmarkering"/>
          <w:rFonts w:cs="Calibri"/>
        </w:rPr>
        <w:footnoteReference w:id="12"/>
      </w:r>
      <w:r w:rsidR="00130F6D">
        <w:rPr>
          <w:rFonts w:cs="Calibri"/>
        </w:rPr>
        <w:t xml:space="preserve"> </w:t>
      </w:r>
      <w:r w:rsidR="00A8342E" w:rsidRPr="00B04838">
        <w:rPr>
          <w:rFonts w:cs="Calibri"/>
        </w:rPr>
        <w:t xml:space="preserve">Dit roept de vraag op of artikel 6:234 BW nog wel van deze tijd is en of </w:t>
      </w:r>
      <w:r w:rsidR="00E30306">
        <w:rPr>
          <w:rFonts w:cs="Calibri"/>
        </w:rPr>
        <w:t>de discrepantie</w:t>
      </w:r>
      <w:r w:rsidR="00A8342E" w:rsidRPr="00B04838">
        <w:rPr>
          <w:rFonts w:cs="Calibri"/>
        </w:rPr>
        <w:t xml:space="preserve"> </w:t>
      </w:r>
      <w:r w:rsidR="00BE3F15">
        <w:rPr>
          <w:rFonts w:cs="Calibri"/>
        </w:rPr>
        <w:t xml:space="preserve">tussen </w:t>
      </w:r>
      <w:r w:rsidR="00A8342E" w:rsidRPr="00B04838">
        <w:rPr>
          <w:rFonts w:cs="Calibri"/>
        </w:rPr>
        <w:t xml:space="preserve">dienstverrichters en niet-dienstverrichters niet moet worden </w:t>
      </w:r>
      <w:r w:rsidR="000F156F">
        <w:rPr>
          <w:rFonts w:cs="Calibri"/>
        </w:rPr>
        <w:t>losgelaten</w:t>
      </w:r>
      <w:r w:rsidR="00A8342E" w:rsidRPr="00B04838">
        <w:rPr>
          <w:rFonts w:cs="Calibri"/>
        </w:rPr>
        <w:t>.</w:t>
      </w:r>
      <w:r w:rsidR="00A8342E" w:rsidRPr="00B04838">
        <w:rPr>
          <w:rStyle w:val="Voetnootmarkering"/>
          <w:rFonts w:cs="Calibri"/>
        </w:rPr>
        <w:footnoteReference w:id="13"/>
      </w:r>
      <w:r w:rsidR="00A8342E" w:rsidRPr="00B04838">
        <w:rPr>
          <w:rFonts w:cs="Calibri"/>
        </w:rPr>
        <w:t xml:space="preserve"> </w:t>
      </w:r>
      <w:r w:rsidR="00E135FA">
        <w:rPr>
          <w:rFonts w:cs="Calibri"/>
        </w:rPr>
        <w:t xml:space="preserve"> </w:t>
      </w:r>
    </w:p>
    <w:p w14:paraId="096721D4" w14:textId="1540CE4A" w:rsidR="009552DC" w:rsidRDefault="003B1174" w:rsidP="00196BD8">
      <w:pPr>
        <w:spacing w:line="276" w:lineRule="auto"/>
        <w:jc w:val="both"/>
        <w:rPr>
          <w:rFonts w:cs="Calibri"/>
        </w:rPr>
      </w:pPr>
      <w:r w:rsidRPr="00B04838">
        <w:rPr>
          <w:rFonts w:cs="Calibri"/>
        </w:rPr>
        <w:t>Neem een aannemer als voorbeeld. Indien de aannemer werk aanneemt en daarbij jegens zijn opdrachtgever de toepasselijkheid van zijn aannemingsvoorwaarden bedingt, kan hij aan zijn informatieplicht voldoen op de wijze in artikel 6:230c BW. Een websiteverwijzing</w:t>
      </w:r>
      <w:r w:rsidR="00F134C3">
        <w:rPr>
          <w:rFonts w:cs="Calibri"/>
        </w:rPr>
        <w:t xml:space="preserve"> naar de algemene voorwaarden</w:t>
      </w:r>
      <w:r w:rsidRPr="00B04838">
        <w:rPr>
          <w:rFonts w:cs="Calibri"/>
        </w:rPr>
        <w:t xml:space="preserve"> kan in dat geval bijvoorbeeld al voldoende zijn. Als diezelfde aannemer een onderaannemer inschakelt </w:t>
      </w:r>
      <w:r w:rsidR="00332CA2">
        <w:rPr>
          <w:rFonts w:cs="Calibri"/>
        </w:rPr>
        <w:t xml:space="preserve">waarmee hij een nieuwe overeenkomst sluit </w:t>
      </w:r>
      <w:r w:rsidRPr="00B04838">
        <w:rPr>
          <w:rFonts w:cs="Calibri"/>
        </w:rPr>
        <w:t xml:space="preserve">en daarbij de toepasselijkheid van zijn onderaannemingsvoorwaarden bedingt, dient de terhandstelling echter over de boeg van art. 6:234 BW plaats te vinden en vindt art. 6:230c BW geen toepassing. De aannemer treedt in </w:t>
      </w:r>
      <w:r w:rsidR="00332CA2">
        <w:rPr>
          <w:rFonts w:cs="Calibri"/>
        </w:rPr>
        <w:t>deze</w:t>
      </w:r>
      <w:r w:rsidRPr="00B04838">
        <w:rPr>
          <w:rFonts w:cs="Calibri"/>
        </w:rPr>
        <w:t xml:space="preserve"> </w:t>
      </w:r>
      <w:r w:rsidR="00332CA2">
        <w:rPr>
          <w:rFonts w:cs="Calibri"/>
        </w:rPr>
        <w:t>overeenkomst</w:t>
      </w:r>
      <w:r w:rsidRPr="00B04838">
        <w:rPr>
          <w:rFonts w:cs="Calibri"/>
        </w:rPr>
        <w:t xml:space="preserve"> niet op als dienstverrichter, maar als inkoper.</w:t>
      </w:r>
      <w:r w:rsidR="00332CA2">
        <w:rPr>
          <w:rFonts w:cs="Calibri"/>
        </w:rPr>
        <w:t xml:space="preserve"> Dit is een andere economische activiteit.</w:t>
      </w:r>
      <w:r w:rsidRPr="00B04838">
        <w:rPr>
          <w:rFonts w:cs="Calibri"/>
        </w:rPr>
        <w:t xml:space="preserve"> Hierdoor valt hij niet onder de </w:t>
      </w:r>
      <w:r w:rsidR="002F11CF">
        <w:rPr>
          <w:rFonts w:cs="Calibri"/>
        </w:rPr>
        <w:t>D</w:t>
      </w:r>
      <w:r w:rsidRPr="00B04838">
        <w:rPr>
          <w:rFonts w:cs="Calibri"/>
        </w:rPr>
        <w:t>ienstenrichtlijn.</w:t>
      </w:r>
      <w:r>
        <w:rPr>
          <w:rStyle w:val="Voetnootmarkering"/>
          <w:rFonts w:cs="Calibri"/>
        </w:rPr>
        <w:footnoteReference w:id="14"/>
      </w:r>
      <w:r w:rsidRPr="00B04838">
        <w:rPr>
          <w:rFonts w:cs="Calibri"/>
        </w:rPr>
        <w:t xml:space="preserve"> Er ontstaat zo een tweedeling binnen één partij. </w:t>
      </w:r>
    </w:p>
    <w:p w14:paraId="5BB7B5A6" w14:textId="1905E2DD" w:rsidR="003B1174" w:rsidRPr="001223EE" w:rsidRDefault="008D16C2" w:rsidP="00196BD8">
      <w:pPr>
        <w:spacing w:line="276" w:lineRule="auto"/>
        <w:jc w:val="both"/>
        <w:rPr>
          <w:rFonts w:cs="Calibri"/>
        </w:rPr>
      </w:pPr>
      <w:r w:rsidRPr="00B04838">
        <w:rPr>
          <w:rFonts w:cs="Calibri"/>
        </w:rPr>
        <w:t xml:space="preserve">Schept het niet meer duidelijkheid voor beide partijen als er maar één regeling zou zijn? Het is immers zo dat </w:t>
      </w:r>
      <w:r w:rsidR="00BA3A7B">
        <w:rPr>
          <w:rFonts w:cs="Calibri"/>
        </w:rPr>
        <w:t xml:space="preserve">in het voorbeeld hierboven de aannemer </w:t>
      </w:r>
      <w:r w:rsidRPr="00B04838">
        <w:rPr>
          <w:rFonts w:cs="Calibri"/>
        </w:rPr>
        <w:t xml:space="preserve">nu zowel 6:234 BW en 6:230c BW dient te gebruiken in een </w:t>
      </w:r>
      <w:r w:rsidRPr="002827D7">
        <w:rPr>
          <w:rFonts w:cs="Calibri"/>
          <w:color w:val="000000" w:themeColor="text1"/>
        </w:rPr>
        <w:t>bijna zelfde situatie</w:t>
      </w:r>
      <w:r w:rsidRPr="00B04838">
        <w:rPr>
          <w:rFonts w:cs="Calibri"/>
        </w:rPr>
        <w:t xml:space="preserve">, </w:t>
      </w:r>
      <w:r w:rsidR="00A21E68">
        <w:rPr>
          <w:rFonts w:cs="Calibri"/>
        </w:rPr>
        <w:t>alleen omdat hij in het ene geval een dienst verricht en in het andere geval niet</w:t>
      </w:r>
      <w:r w:rsidRPr="00B04838">
        <w:rPr>
          <w:rFonts w:cs="Calibri"/>
        </w:rPr>
        <w:t xml:space="preserve">. </w:t>
      </w:r>
      <w:r>
        <w:rPr>
          <w:rFonts w:cs="Calibri"/>
        </w:rPr>
        <w:t xml:space="preserve">Een duidelijker onderscheid of </w:t>
      </w:r>
      <w:r w:rsidR="00BA3A7B">
        <w:rPr>
          <w:rFonts w:cs="Calibri"/>
        </w:rPr>
        <w:t>éé</w:t>
      </w:r>
      <w:r>
        <w:rPr>
          <w:rFonts w:cs="Calibri"/>
        </w:rPr>
        <w:t>n universele regeling zou deze</w:t>
      </w:r>
      <w:r w:rsidR="004A7E7A">
        <w:rPr>
          <w:rFonts w:cs="Calibri"/>
        </w:rPr>
        <w:t xml:space="preserve"> </w:t>
      </w:r>
      <w:r w:rsidR="00556877">
        <w:rPr>
          <w:rFonts w:cs="Calibri"/>
        </w:rPr>
        <w:t>rechtsongelijkheid</w:t>
      </w:r>
      <w:r>
        <w:rPr>
          <w:rFonts w:cs="Calibri"/>
        </w:rPr>
        <w:t xml:space="preserve"> wegnemen</w:t>
      </w:r>
      <w:r w:rsidRPr="00B04838">
        <w:rPr>
          <w:rFonts w:cs="Calibri"/>
        </w:rPr>
        <w:t xml:space="preserve">. Naarmate er meer uitspraken </w:t>
      </w:r>
      <w:r w:rsidR="00556877">
        <w:rPr>
          <w:rFonts w:cs="Calibri"/>
        </w:rPr>
        <w:t xml:space="preserve">komen binnen de rechtspraak </w:t>
      </w:r>
      <w:r w:rsidRPr="00B04838">
        <w:rPr>
          <w:rFonts w:cs="Calibri"/>
        </w:rPr>
        <w:t>lijkt het begrip ‘dienst’ steeds verder op te rekken. Ook in de lagere rechtspraak is er veel onduidelijkheid over wat er valt onder een dienstverrichter en een niet-dienstverrichter.</w:t>
      </w:r>
      <w:r w:rsidRPr="00B04838">
        <w:rPr>
          <w:rStyle w:val="Voetnootmarkering"/>
          <w:rFonts w:cs="Calibri"/>
        </w:rPr>
        <w:footnoteReference w:id="15"/>
      </w:r>
    </w:p>
    <w:p w14:paraId="363C2A4B" w14:textId="0B33AA1D" w:rsidR="00A8342E" w:rsidRPr="00915A01" w:rsidRDefault="001B34C6" w:rsidP="00196BD8">
      <w:pPr>
        <w:pStyle w:val="Lijstalinea"/>
        <w:numPr>
          <w:ilvl w:val="1"/>
          <w:numId w:val="5"/>
        </w:numPr>
        <w:spacing w:line="276" w:lineRule="auto"/>
        <w:jc w:val="both"/>
        <w:rPr>
          <w:rFonts w:cs="Calibri"/>
          <w:b/>
          <w:bCs/>
        </w:rPr>
      </w:pPr>
      <w:r w:rsidRPr="00915A01">
        <w:rPr>
          <w:rFonts w:cs="Calibri"/>
          <w:b/>
          <w:bCs/>
        </w:rPr>
        <w:t>Het onderzoeksdoel</w:t>
      </w:r>
    </w:p>
    <w:p w14:paraId="5B7F5DEA" w14:textId="6C356052" w:rsidR="00A8342E" w:rsidRPr="00B04838" w:rsidRDefault="00A8342E" w:rsidP="00196BD8">
      <w:pPr>
        <w:spacing w:line="276" w:lineRule="auto"/>
        <w:jc w:val="both"/>
        <w:rPr>
          <w:rFonts w:cs="Calibri"/>
        </w:rPr>
      </w:pPr>
      <w:r w:rsidRPr="00B04838">
        <w:rPr>
          <w:rFonts w:cs="Calibri"/>
        </w:rPr>
        <w:t xml:space="preserve">Dit onderzoek is relevant, omdat er tot op heden geen duidelijke scheiding is tussen de </w:t>
      </w:r>
      <w:r w:rsidR="00D25AA5">
        <w:rPr>
          <w:rFonts w:cs="Calibri"/>
        </w:rPr>
        <w:t>situaties</w:t>
      </w:r>
      <w:r w:rsidRPr="00B04838">
        <w:rPr>
          <w:rFonts w:cs="Calibri"/>
        </w:rPr>
        <w:t xml:space="preserve"> die vallen onder de </w:t>
      </w:r>
      <w:r w:rsidR="002F11CF">
        <w:rPr>
          <w:rFonts w:cs="Calibri"/>
        </w:rPr>
        <w:t>D</w:t>
      </w:r>
      <w:r w:rsidRPr="00B04838">
        <w:rPr>
          <w:rFonts w:cs="Calibri"/>
        </w:rPr>
        <w:t xml:space="preserve">ienstenrichtlijn en daarmee onder de </w:t>
      </w:r>
      <w:r w:rsidR="00A61520">
        <w:rPr>
          <w:rFonts w:cs="Calibri"/>
        </w:rPr>
        <w:t>soepelere</w:t>
      </w:r>
      <w:r w:rsidRPr="00B04838">
        <w:rPr>
          <w:rFonts w:cs="Calibri"/>
        </w:rPr>
        <w:t xml:space="preserve"> informatieplicht van art. 6:230c BW en tussen de </w:t>
      </w:r>
      <w:r w:rsidR="009428BF">
        <w:rPr>
          <w:rFonts w:cs="Calibri"/>
        </w:rPr>
        <w:t>situaties</w:t>
      </w:r>
      <w:r w:rsidRPr="00B04838">
        <w:rPr>
          <w:rFonts w:cs="Calibri"/>
        </w:rPr>
        <w:t xml:space="preserve"> die vallen onder art. 6:234 BW en daarmee moeten voldoen aan de strengere informatieplicht. </w:t>
      </w:r>
      <w:r w:rsidR="00540A6C">
        <w:rPr>
          <w:rFonts w:cs="Calibri"/>
        </w:rPr>
        <w:t xml:space="preserve">Nu ook </w:t>
      </w:r>
      <w:r w:rsidR="005B1D2E">
        <w:rPr>
          <w:rFonts w:cs="Calibri"/>
        </w:rPr>
        <w:t xml:space="preserve">detailhandel en groothandel aangemerkt </w:t>
      </w:r>
      <w:r w:rsidR="005B7473">
        <w:rPr>
          <w:rFonts w:cs="Calibri"/>
        </w:rPr>
        <w:t>kunnen</w:t>
      </w:r>
      <w:r w:rsidR="005B1D2E">
        <w:rPr>
          <w:rFonts w:cs="Calibri"/>
        </w:rPr>
        <w:t xml:space="preserve"> worden als dienst wordt de scope van art. 6:234 BW steeds meer uitgehold</w:t>
      </w:r>
      <w:r w:rsidR="003470BB">
        <w:rPr>
          <w:rFonts w:cs="Calibri"/>
        </w:rPr>
        <w:t>.</w:t>
      </w:r>
      <w:r w:rsidR="005B1D2E">
        <w:rPr>
          <w:rFonts w:cs="Calibri"/>
        </w:rPr>
        <w:t xml:space="preserve"> </w:t>
      </w:r>
      <w:r w:rsidRPr="00B04838">
        <w:rPr>
          <w:rFonts w:cs="Calibri"/>
        </w:rPr>
        <w:t xml:space="preserve">In dat geval is de vraag relevant of </w:t>
      </w:r>
      <w:r w:rsidR="003470BB">
        <w:rPr>
          <w:rFonts w:cs="Calibri"/>
        </w:rPr>
        <w:t xml:space="preserve">het hebben van twee afzonderlijke regelingen </w:t>
      </w:r>
      <w:r w:rsidRPr="00B04838">
        <w:rPr>
          <w:rFonts w:cs="Calibri"/>
        </w:rPr>
        <w:t xml:space="preserve">nog wel nut heeft en of </w:t>
      </w:r>
      <w:r w:rsidR="00731628">
        <w:rPr>
          <w:rFonts w:cs="Calibri"/>
        </w:rPr>
        <w:t>een regeling</w:t>
      </w:r>
      <w:r w:rsidRPr="00B04838">
        <w:rPr>
          <w:rFonts w:cs="Calibri"/>
        </w:rPr>
        <w:t xml:space="preserve"> niet beter geschrapt </w:t>
      </w:r>
      <w:r w:rsidR="005B1D2E">
        <w:rPr>
          <w:rFonts w:cs="Calibri"/>
        </w:rPr>
        <w:t xml:space="preserve">of </w:t>
      </w:r>
      <w:r w:rsidR="005B1D2E">
        <w:rPr>
          <w:rFonts w:cs="Calibri"/>
        </w:rPr>
        <w:lastRenderedPageBreak/>
        <w:t xml:space="preserve">aangepast </w:t>
      </w:r>
      <w:r w:rsidRPr="00B04838">
        <w:rPr>
          <w:rFonts w:cs="Calibri"/>
        </w:rPr>
        <w:t>kan worden. Is dit wenselijk? En wat zouden de gevolgen zijn?</w:t>
      </w:r>
      <w:r w:rsidR="001D1A6B" w:rsidRPr="00B04838">
        <w:rPr>
          <w:rFonts w:cs="Calibri"/>
        </w:rPr>
        <w:t xml:space="preserve"> </w:t>
      </w:r>
      <w:r w:rsidR="000F3E2B" w:rsidRPr="00B04838">
        <w:rPr>
          <w:rFonts w:cs="Calibri"/>
        </w:rPr>
        <w:t xml:space="preserve">Zou er een andere regeling moeten komen? </w:t>
      </w:r>
      <w:r w:rsidR="001D1A6B" w:rsidRPr="00B04838">
        <w:rPr>
          <w:rFonts w:cs="Calibri"/>
        </w:rPr>
        <w:t xml:space="preserve">De uitkomst van dit onderzoek zal een helder beeld geven op voorgenoemde vragen. In het geval dat geconcludeerd wordt dat </w:t>
      </w:r>
      <w:r w:rsidR="00D3537F">
        <w:rPr>
          <w:rFonts w:cs="Calibri"/>
        </w:rPr>
        <w:t xml:space="preserve">het bestaan van zowel </w:t>
      </w:r>
      <w:r w:rsidR="001D1A6B" w:rsidRPr="00B04838">
        <w:rPr>
          <w:rFonts w:cs="Calibri"/>
        </w:rPr>
        <w:t>art. 6:234 BW</w:t>
      </w:r>
      <w:r w:rsidR="00D3537F">
        <w:rPr>
          <w:rFonts w:cs="Calibri"/>
        </w:rPr>
        <w:t xml:space="preserve"> als art. 6:230c BW</w:t>
      </w:r>
      <w:r w:rsidR="001D1A6B" w:rsidRPr="00B04838">
        <w:rPr>
          <w:rFonts w:cs="Calibri"/>
        </w:rPr>
        <w:t xml:space="preserve"> niet veel relevante meer</w:t>
      </w:r>
      <w:r w:rsidR="00110882">
        <w:rPr>
          <w:rFonts w:cs="Calibri"/>
        </w:rPr>
        <w:t>waarde</w:t>
      </w:r>
      <w:r w:rsidR="001D1A6B" w:rsidRPr="00B04838">
        <w:rPr>
          <w:rFonts w:cs="Calibri"/>
        </w:rPr>
        <w:t xml:space="preserve"> heeft kan er gekeken worden naar een suggestie die voor </w:t>
      </w:r>
      <w:r w:rsidR="00215F7E">
        <w:rPr>
          <w:rFonts w:cs="Calibri"/>
        </w:rPr>
        <w:t>alle gebruikers</w:t>
      </w:r>
      <w:r w:rsidR="001D1A6B" w:rsidRPr="00B04838">
        <w:rPr>
          <w:rFonts w:cs="Calibri"/>
        </w:rPr>
        <w:t xml:space="preserve"> een goede uitkomst z</w:t>
      </w:r>
      <w:r w:rsidR="00215F7E">
        <w:rPr>
          <w:rFonts w:cs="Calibri"/>
        </w:rPr>
        <w:t>al</w:t>
      </w:r>
      <w:r w:rsidR="001D1A6B" w:rsidRPr="00B04838">
        <w:rPr>
          <w:rFonts w:cs="Calibri"/>
        </w:rPr>
        <w:t xml:space="preserve"> bieden. </w:t>
      </w:r>
    </w:p>
    <w:p w14:paraId="6A6C8AEA" w14:textId="3D318C66" w:rsidR="001B34C6" w:rsidRPr="00915A01" w:rsidRDefault="001B34C6" w:rsidP="00196BD8">
      <w:pPr>
        <w:pStyle w:val="Lijstalinea"/>
        <w:numPr>
          <w:ilvl w:val="1"/>
          <w:numId w:val="5"/>
        </w:numPr>
        <w:spacing w:line="276" w:lineRule="auto"/>
        <w:jc w:val="both"/>
        <w:rPr>
          <w:rFonts w:cs="Calibri"/>
          <w:b/>
          <w:bCs/>
        </w:rPr>
      </w:pPr>
      <w:r w:rsidRPr="00915A01">
        <w:rPr>
          <w:rFonts w:cs="Calibri"/>
          <w:b/>
          <w:bCs/>
        </w:rPr>
        <w:t>De onderzoeksvraag</w:t>
      </w:r>
    </w:p>
    <w:p w14:paraId="6EC0DA4F" w14:textId="2B5D5BBE" w:rsidR="0000565D" w:rsidRPr="00B04838" w:rsidRDefault="0000565D" w:rsidP="00196BD8">
      <w:pPr>
        <w:spacing w:line="276" w:lineRule="auto"/>
        <w:jc w:val="both"/>
        <w:rPr>
          <w:rFonts w:cs="Calibri"/>
        </w:rPr>
      </w:pPr>
      <w:r w:rsidRPr="00B04838">
        <w:rPr>
          <w:rFonts w:cs="Calibri"/>
        </w:rPr>
        <w:t xml:space="preserve">De vraag die onderzocht dient te worden is: </w:t>
      </w:r>
      <w:r w:rsidR="0058529F" w:rsidRPr="00B04838">
        <w:rPr>
          <w:rFonts w:cs="Calibri"/>
        </w:rPr>
        <w:t>W</w:t>
      </w:r>
      <w:r w:rsidRPr="00B04838">
        <w:rPr>
          <w:rFonts w:cs="Calibri"/>
        </w:rPr>
        <w:t xml:space="preserve">at is de </w:t>
      </w:r>
      <w:r w:rsidR="00503E08">
        <w:rPr>
          <w:rFonts w:cs="Calibri"/>
        </w:rPr>
        <w:t>meerwaarde va</w:t>
      </w:r>
      <w:r w:rsidR="00D15E7A">
        <w:rPr>
          <w:rFonts w:cs="Calibri"/>
        </w:rPr>
        <w:t xml:space="preserve">n </w:t>
      </w:r>
      <w:r w:rsidR="00394ECC">
        <w:rPr>
          <w:rFonts w:cs="Calibri"/>
        </w:rPr>
        <w:t xml:space="preserve">het bestaan van </w:t>
      </w:r>
      <w:r w:rsidR="00D15E7A">
        <w:rPr>
          <w:rFonts w:cs="Calibri"/>
        </w:rPr>
        <w:t xml:space="preserve">zowel </w:t>
      </w:r>
      <w:r w:rsidRPr="00B04838">
        <w:rPr>
          <w:rFonts w:cs="Calibri"/>
        </w:rPr>
        <w:t xml:space="preserve">artikel 6:234 BW </w:t>
      </w:r>
      <w:r w:rsidR="00D15E7A">
        <w:rPr>
          <w:rFonts w:cs="Calibri"/>
        </w:rPr>
        <w:t>als</w:t>
      </w:r>
      <w:r w:rsidR="0058529F" w:rsidRPr="00B04838">
        <w:rPr>
          <w:rFonts w:cs="Calibri"/>
        </w:rPr>
        <w:t xml:space="preserve"> artikel 6:230c BW</w:t>
      </w:r>
      <w:r w:rsidR="0091379E">
        <w:rPr>
          <w:rFonts w:cs="Calibri"/>
        </w:rPr>
        <w:t xml:space="preserve"> voor</w:t>
      </w:r>
      <w:r w:rsidR="00394ECC">
        <w:rPr>
          <w:rFonts w:cs="Calibri"/>
        </w:rPr>
        <w:t xml:space="preserve"> terhandstelling van</w:t>
      </w:r>
      <w:r w:rsidR="0091379E">
        <w:rPr>
          <w:rFonts w:cs="Calibri"/>
        </w:rPr>
        <w:t xml:space="preserve"> online </w:t>
      </w:r>
      <w:r w:rsidR="00273E9B">
        <w:rPr>
          <w:rFonts w:cs="Calibri"/>
        </w:rPr>
        <w:t>algemene voorwaarden</w:t>
      </w:r>
      <w:r w:rsidRPr="00B04838">
        <w:rPr>
          <w:rFonts w:cs="Calibri"/>
        </w:rPr>
        <w:t xml:space="preserve"> </w:t>
      </w:r>
      <w:r w:rsidR="0058529F" w:rsidRPr="00B04838">
        <w:rPr>
          <w:rFonts w:cs="Calibri"/>
        </w:rPr>
        <w:t xml:space="preserve">met het oog op </w:t>
      </w:r>
      <w:r w:rsidR="008A696A">
        <w:rPr>
          <w:rFonts w:cs="Calibri"/>
        </w:rPr>
        <w:t xml:space="preserve">het </w:t>
      </w:r>
      <w:r w:rsidR="00BB47E8">
        <w:rPr>
          <w:rFonts w:cs="Calibri"/>
        </w:rPr>
        <w:t>onduidelijk</w:t>
      </w:r>
      <w:r w:rsidR="008A696A">
        <w:rPr>
          <w:rFonts w:cs="Calibri"/>
        </w:rPr>
        <w:t xml:space="preserve">e </w:t>
      </w:r>
      <w:r w:rsidRPr="00B04838">
        <w:rPr>
          <w:rFonts w:cs="Calibri"/>
        </w:rPr>
        <w:t xml:space="preserve">onderscheid tussen dienstverrichters en niet-dienstverrichters? </w:t>
      </w:r>
      <w:r w:rsidR="009607C1" w:rsidRPr="00B04838">
        <w:rPr>
          <w:rFonts w:cs="Calibri"/>
        </w:rPr>
        <w:t xml:space="preserve"> </w:t>
      </w:r>
    </w:p>
    <w:p w14:paraId="4C59AA17" w14:textId="04BAD315" w:rsidR="00334B32" w:rsidRPr="00B04838" w:rsidRDefault="00334B32" w:rsidP="00196BD8">
      <w:pPr>
        <w:spacing w:line="276" w:lineRule="auto"/>
        <w:jc w:val="both"/>
        <w:rPr>
          <w:rFonts w:cs="Calibri"/>
        </w:rPr>
      </w:pPr>
      <w:r w:rsidRPr="00B04838">
        <w:rPr>
          <w:rFonts w:cs="Calibri"/>
        </w:rPr>
        <w:t xml:space="preserve">Deelvragen: </w:t>
      </w:r>
    </w:p>
    <w:p w14:paraId="59ADB26E" w14:textId="775B7C49" w:rsidR="00334B32" w:rsidRPr="00B04838" w:rsidRDefault="00334B32" w:rsidP="00196BD8">
      <w:pPr>
        <w:pStyle w:val="Lijstalinea"/>
        <w:numPr>
          <w:ilvl w:val="0"/>
          <w:numId w:val="3"/>
        </w:numPr>
        <w:spacing w:line="276" w:lineRule="auto"/>
        <w:jc w:val="both"/>
        <w:rPr>
          <w:rFonts w:cs="Calibri"/>
        </w:rPr>
      </w:pPr>
      <w:bookmarkStart w:id="2" w:name="OLE_LINK1"/>
      <w:bookmarkStart w:id="3" w:name="OLE_LINK2"/>
      <w:r w:rsidRPr="00B04838">
        <w:rPr>
          <w:rFonts w:cs="Calibri"/>
        </w:rPr>
        <w:t>Welke eisen stelt art. 6:234 BW aan de terhandstelling van de algemene voorwaarden aan niet-dienstverrichters?</w:t>
      </w:r>
    </w:p>
    <w:bookmarkEnd w:id="2"/>
    <w:bookmarkEnd w:id="3"/>
    <w:p w14:paraId="04BB802F" w14:textId="0BBBE593" w:rsidR="00334B32" w:rsidRPr="00B04838" w:rsidRDefault="00334B32" w:rsidP="00196BD8">
      <w:pPr>
        <w:pStyle w:val="Lijstalinea"/>
        <w:numPr>
          <w:ilvl w:val="0"/>
          <w:numId w:val="3"/>
        </w:numPr>
        <w:spacing w:line="276" w:lineRule="auto"/>
        <w:jc w:val="both"/>
        <w:rPr>
          <w:rFonts w:cs="Calibri"/>
        </w:rPr>
      </w:pPr>
      <w:r w:rsidRPr="00B04838">
        <w:rPr>
          <w:rFonts w:cs="Calibri"/>
        </w:rPr>
        <w:t xml:space="preserve">Welke </w:t>
      </w:r>
      <w:r w:rsidR="0058529F" w:rsidRPr="00B04838">
        <w:rPr>
          <w:rFonts w:cs="Calibri"/>
        </w:rPr>
        <w:t>eisen</w:t>
      </w:r>
      <w:r w:rsidRPr="00B04838">
        <w:rPr>
          <w:rFonts w:cs="Calibri"/>
        </w:rPr>
        <w:t xml:space="preserve"> stelt art. 6:230c BW aan de terhandstelling van de algemene voorwaarden aan dienstverrichters?</w:t>
      </w:r>
    </w:p>
    <w:p w14:paraId="77BFBCC7" w14:textId="12B3E44A" w:rsidR="00556877" w:rsidRDefault="00334B32" w:rsidP="00556877">
      <w:pPr>
        <w:pStyle w:val="Lijstalinea"/>
        <w:numPr>
          <w:ilvl w:val="0"/>
          <w:numId w:val="3"/>
        </w:numPr>
        <w:spacing w:line="276" w:lineRule="auto"/>
        <w:jc w:val="both"/>
        <w:rPr>
          <w:rFonts w:cs="Calibri"/>
        </w:rPr>
      </w:pPr>
      <w:r w:rsidRPr="00B04838">
        <w:rPr>
          <w:rFonts w:cs="Calibri"/>
        </w:rPr>
        <w:t xml:space="preserve">Is het verschil tussen de twee regelingen gerechtvaardigd in de literatuur </w:t>
      </w:r>
      <w:r w:rsidR="006D5707">
        <w:rPr>
          <w:rFonts w:cs="Calibri"/>
        </w:rPr>
        <w:t xml:space="preserve">en rechtspraak, </w:t>
      </w:r>
      <w:r w:rsidRPr="00B04838">
        <w:rPr>
          <w:rFonts w:cs="Calibri"/>
        </w:rPr>
        <w:t xml:space="preserve">en welke oplossingen en aanbevelingen worden daar </w:t>
      </w:r>
      <w:r w:rsidR="00F043CE">
        <w:rPr>
          <w:rFonts w:cs="Calibri"/>
        </w:rPr>
        <w:t>aan</w:t>
      </w:r>
      <w:r w:rsidRPr="00B04838">
        <w:rPr>
          <w:rFonts w:cs="Calibri"/>
        </w:rPr>
        <w:t>ge</w:t>
      </w:r>
      <w:r w:rsidR="0058529F" w:rsidRPr="00B04838">
        <w:rPr>
          <w:rFonts w:cs="Calibri"/>
        </w:rPr>
        <w:t>haald</w:t>
      </w:r>
      <w:r w:rsidRPr="00B04838">
        <w:rPr>
          <w:rFonts w:cs="Calibri"/>
        </w:rPr>
        <w:t xml:space="preserve">? </w:t>
      </w:r>
    </w:p>
    <w:p w14:paraId="0B940186" w14:textId="1792E4A2" w:rsidR="00332CA2" w:rsidRPr="00332CA2" w:rsidRDefault="00332CA2" w:rsidP="00332CA2">
      <w:pPr>
        <w:pStyle w:val="Lijstalinea"/>
        <w:numPr>
          <w:ilvl w:val="0"/>
          <w:numId w:val="3"/>
        </w:numPr>
        <w:spacing w:line="276" w:lineRule="auto"/>
        <w:jc w:val="both"/>
        <w:rPr>
          <w:rFonts w:cs="Calibri"/>
        </w:rPr>
      </w:pPr>
      <w:r w:rsidRPr="00B04838">
        <w:rPr>
          <w:rFonts w:cs="Calibri"/>
        </w:rPr>
        <w:t>Hoe is de terhandstelling van de</w:t>
      </w:r>
      <w:r>
        <w:rPr>
          <w:rFonts w:cs="Calibri"/>
        </w:rPr>
        <w:t xml:space="preserve"> online</w:t>
      </w:r>
      <w:r w:rsidRPr="00B04838">
        <w:rPr>
          <w:rFonts w:cs="Calibri"/>
        </w:rPr>
        <w:t xml:space="preserve"> algemene voorwaarden geregeld in </w:t>
      </w:r>
      <w:r>
        <w:rPr>
          <w:rFonts w:cs="Calibri"/>
        </w:rPr>
        <w:t>België</w:t>
      </w:r>
      <w:r w:rsidRPr="00B04838">
        <w:rPr>
          <w:rFonts w:cs="Calibri"/>
        </w:rPr>
        <w:t xml:space="preserve"> en wat zijn eventuele oplossingen en aanbevelingen die </w:t>
      </w:r>
      <w:r>
        <w:rPr>
          <w:rFonts w:cs="Calibri"/>
        </w:rPr>
        <w:t>uit het Belgische systeem kunnen volgen?</w:t>
      </w:r>
      <w:r w:rsidRPr="00B04838">
        <w:rPr>
          <w:rFonts w:cs="Calibri"/>
        </w:rPr>
        <w:t xml:space="preserve"> </w:t>
      </w:r>
    </w:p>
    <w:p w14:paraId="7A12C395" w14:textId="57915CDA" w:rsidR="00556877" w:rsidRPr="00556877" w:rsidRDefault="00556877" w:rsidP="00556877">
      <w:pPr>
        <w:spacing w:line="276" w:lineRule="auto"/>
        <w:ind w:left="360"/>
        <w:jc w:val="both"/>
        <w:rPr>
          <w:rFonts w:cs="Calibri"/>
        </w:rPr>
      </w:pPr>
      <w:r>
        <w:rPr>
          <w:rFonts w:cs="Calibri"/>
        </w:rPr>
        <w:t>D</w:t>
      </w:r>
      <w:r w:rsidRPr="00556877">
        <w:rPr>
          <w:rFonts w:cs="Calibri"/>
        </w:rPr>
        <w:t>eelvraag één zal</w:t>
      </w:r>
      <w:r>
        <w:rPr>
          <w:rFonts w:cs="Calibri"/>
        </w:rPr>
        <w:t xml:space="preserve"> beantwoord worden in hoofdstuk twee aan de hand van</w:t>
      </w:r>
      <w:r w:rsidRPr="00556877">
        <w:rPr>
          <w:rFonts w:cs="Calibri"/>
        </w:rPr>
        <w:t xml:space="preserve"> alle relevante wetgeving, literatuur, jurisprudentie met betrekking tot art. 6:234 BW. Daarnaast zullen eventueel ontstane knelpunten besproken worden. Zo zal er een duidelijk juridisch kader geschetst worden van de regeling voor niet-dienstverrichters. Deelvraag twee zal </w:t>
      </w:r>
      <w:r>
        <w:rPr>
          <w:rFonts w:cs="Calibri"/>
        </w:rPr>
        <w:t xml:space="preserve">in hoofdstuk drie </w:t>
      </w:r>
      <w:r w:rsidRPr="00556877">
        <w:rPr>
          <w:rFonts w:cs="Calibri"/>
        </w:rPr>
        <w:t xml:space="preserve">op dezelfde wijze behandeld worden als deelvraag één. </w:t>
      </w:r>
    </w:p>
    <w:p w14:paraId="17D9902E" w14:textId="248DB7F9" w:rsidR="006A1F02" w:rsidRDefault="00332CA2" w:rsidP="006A1F02">
      <w:pPr>
        <w:spacing w:line="276" w:lineRule="auto"/>
        <w:ind w:left="360"/>
        <w:jc w:val="both"/>
        <w:rPr>
          <w:rFonts w:cs="Calibri"/>
        </w:rPr>
      </w:pPr>
      <w:r>
        <w:rPr>
          <w:rFonts w:cs="Calibri"/>
        </w:rPr>
        <w:t>D</w:t>
      </w:r>
      <w:r w:rsidR="00556877">
        <w:rPr>
          <w:rFonts w:cs="Calibri"/>
        </w:rPr>
        <w:t xml:space="preserve">eelvraag </w:t>
      </w:r>
      <w:r>
        <w:rPr>
          <w:rFonts w:cs="Calibri"/>
        </w:rPr>
        <w:t>drie</w:t>
      </w:r>
      <w:r w:rsidR="006A1F02">
        <w:rPr>
          <w:rFonts w:cs="Calibri"/>
        </w:rPr>
        <w:t xml:space="preserve"> wordt</w:t>
      </w:r>
      <w:r w:rsidR="00556877">
        <w:rPr>
          <w:rFonts w:cs="Calibri"/>
        </w:rPr>
        <w:t xml:space="preserve"> beantwoord in hoofdstuk </w:t>
      </w:r>
      <w:r w:rsidR="006A1F02">
        <w:rPr>
          <w:rFonts w:cs="Calibri"/>
        </w:rPr>
        <w:t>vier</w:t>
      </w:r>
      <w:r w:rsidR="00556877">
        <w:rPr>
          <w:rFonts w:cs="Calibri"/>
        </w:rPr>
        <w:t xml:space="preserve"> door de kritiek die wordt geleverd in de literatuur te bespreken. Daarnaast wordt het verschil tussen de huidige Nederlandse regelingen geschetst. </w:t>
      </w:r>
      <w:r w:rsidRPr="00556877">
        <w:rPr>
          <w:rFonts w:cs="Calibri"/>
        </w:rPr>
        <w:t xml:space="preserve">Deelvraag </w:t>
      </w:r>
      <w:r>
        <w:rPr>
          <w:rFonts w:cs="Calibri"/>
        </w:rPr>
        <w:t>vier</w:t>
      </w:r>
      <w:r w:rsidRPr="00556877">
        <w:rPr>
          <w:rFonts w:cs="Calibri"/>
        </w:rPr>
        <w:t xml:space="preserve"> zal </w:t>
      </w:r>
      <w:r>
        <w:rPr>
          <w:rFonts w:cs="Calibri"/>
        </w:rPr>
        <w:t>beantwoord worden door</w:t>
      </w:r>
      <w:r w:rsidRPr="00556877">
        <w:rPr>
          <w:rFonts w:cs="Calibri"/>
        </w:rPr>
        <w:t xml:space="preserve"> </w:t>
      </w:r>
      <w:r>
        <w:rPr>
          <w:rFonts w:cs="Calibri"/>
        </w:rPr>
        <w:t xml:space="preserve">een </w:t>
      </w:r>
      <w:r w:rsidRPr="00556877">
        <w:rPr>
          <w:rFonts w:cs="Calibri"/>
        </w:rPr>
        <w:t xml:space="preserve">rechtsvergelijking met België. In dit hoofdstuk zal eerst kort de wettelijke regeling in België worden besproken.  Verder zal er voornamelijk jurisprudentieonderzoek gedaan worden. Tot slot zal een afweging worden gemaakt van de voordelen en nadelen tussen de Belgische en Nederlandse regeling. </w:t>
      </w:r>
      <w:r w:rsidR="006A1F02">
        <w:rPr>
          <w:rFonts w:cs="Calibri"/>
        </w:rPr>
        <w:t xml:space="preserve">De onderzoeksvraag wordt tot slot beantwoordt in de conclusie. </w:t>
      </w:r>
    </w:p>
    <w:p w14:paraId="57256FA5" w14:textId="77777777" w:rsidR="005E312F" w:rsidRDefault="005E312F" w:rsidP="006A1F02">
      <w:pPr>
        <w:spacing w:line="276" w:lineRule="auto"/>
        <w:ind w:left="360"/>
        <w:jc w:val="both"/>
        <w:rPr>
          <w:rFonts w:cs="Calibri"/>
        </w:rPr>
      </w:pPr>
    </w:p>
    <w:p w14:paraId="28FA10D7" w14:textId="77777777" w:rsidR="005E312F" w:rsidRPr="00556877" w:rsidRDefault="005E312F" w:rsidP="006A1F02">
      <w:pPr>
        <w:spacing w:line="276" w:lineRule="auto"/>
        <w:ind w:left="360"/>
        <w:jc w:val="both"/>
        <w:rPr>
          <w:rFonts w:cs="Calibri"/>
        </w:rPr>
      </w:pPr>
    </w:p>
    <w:p w14:paraId="62A60125" w14:textId="674AC039" w:rsidR="001B34C6" w:rsidRPr="00915A01" w:rsidRDefault="001B34C6" w:rsidP="00196BD8">
      <w:pPr>
        <w:pStyle w:val="Lijstalinea"/>
        <w:numPr>
          <w:ilvl w:val="1"/>
          <w:numId w:val="5"/>
        </w:numPr>
        <w:spacing w:line="276" w:lineRule="auto"/>
        <w:jc w:val="both"/>
        <w:rPr>
          <w:rFonts w:cs="Calibri"/>
          <w:b/>
          <w:bCs/>
        </w:rPr>
      </w:pPr>
      <w:r w:rsidRPr="00915A01">
        <w:rPr>
          <w:rFonts w:cs="Calibri"/>
          <w:b/>
          <w:bCs/>
        </w:rPr>
        <w:lastRenderedPageBreak/>
        <w:t>Onderzoeksmethode</w:t>
      </w:r>
    </w:p>
    <w:p w14:paraId="53EBD936" w14:textId="1759F079" w:rsidR="008D61B8" w:rsidRDefault="001D1A6B" w:rsidP="00196BD8">
      <w:pPr>
        <w:spacing w:line="276" w:lineRule="auto"/>
        <w:jc w:val="both"/>
        <w:rPr>
          <w:rFonts w:cs="Calibri"/>
        </w:rPr>
      </w:pPr>
      <w:r w:rsidRPr="00B04838">
        <w:rPr>
          <w:rFonts w:cs="Calibri"/>
        </w:rPr>
        <w:t xml:space="preserve">Er zal gebruik gemaakt worden van verschillende soorten bronnen, waaronder jurisprudentie, wetsartikelen, </w:t>
      </w:r>
      <w:r w:rsidR="00FA378B">
        <w:rPr>
          <w:rFonts w:cs="Calibri"/>
        </w:rPr>
        <w:t>M</w:t>
      </w:r>
      <w:r w:rsidRPr="00B04838">
        <w:rPr>
          <w:rFonts w:cs="Calibri"/>
        </w:rPr>
        <w:t>emorie</w:t>
      </w:r>
      <w:r w:rsidR="003356BC">
        <w:rPr>
          <w:rFonts w:cs="Calibri"/>
        </w:rPr>
        <w:t>s</w:t>
      </w:r>
      <w:r w:rsidRPr="00B04838">
        <w:rPr>
          <w:rFonts w:cs="Calibri"/>
        </w:rPr>
        <w:t xml:space="preserve"> van toelichting, parlementaire geschiedenis en literatuur. </w:t>
      </w:r>
      <w:r w:rsidR="000D4979" w:rsidRPr="00B04838">
        <w:rPr>
          <w:rFonts w:cs="Calibri"/>
        </w:rPr>
        <w:t xml:space="preserve">Dit wil ik behandelen door middel van een </w:t>
      </w:r>
      <w:r w:rsidR="002A4AE8">
        <w:rPr>
          <w:rFonts w:cs="Calibri"/>
        </w:rPr>
        <w:t>juridisch-normatief</w:t>
      </w:r>
      <w:r w:rsidR="000D4979" w:rsidRPr="00B04838">
        <w:rPr>
          <w:rFonts w:cs="Calibri"/>
        </w:rPr>
        <w:t xml:space="preserve"> onderzoek</w:t>
      </w:r>
      <w:r w:rsidR="008139D0">
        <w:rPr>
          <w:rFonts w:cs="Calibri"/>
        </w:rPr>
        <w:t>, w</w:t>
      </w:r>
      <w:r w:rsidR="000D4979" w:rsidRPr="00B04838">
        <w:rPr>
          <w:rFonts w:cs="Calibri"/>
        </w:rPr>
        <w:t xml:space="preserve">aarbij de huidige regels zullen worden geanalyseerd en eventuele nieuwe suggesties gedaan zullen worden. </w:t>
      </w:r>
    </w:p>
    <w:p w14:paraId="5E196938" w14:textId="76A5FBF9" w:rsidR="001D1A6B" w:rsidRPr="00B04838" w:rsidRDefault="009A1899" w:rsidP="00196BD8">
      <w:pPr>
        <w:spacing w:line="276" w:lineRule="auto"/>
        <w:jc w:val="both"/>
        <w:rPr>
          <w:rFonts w:cs="Calibri"/>
        </w:rPr>
      </w:pPr>
      <w:r>
        <w:rPr>
          <w:rFonts w:cs="Calibri"/>
        </w:rPr>
        <w:t>Daarnaast vindt er een rechtsvergelijkend onderzoek plaats</w:t>
      </w:r>
      <w:r w:rsidR="000D4979" w:rsidRPr="00B04838">
        <w:rPr>
          <w:rFonts w:cs="Calibri"/>
        </w:rPr>
        <w:t xml:space="preserve"> met </w:t>
      </w:r>
      <w:r w:rsidR="00781198">
        <w:rPr>
          <w:rFonts w:cs="Calibri"/>
        </w:rPr>
        <w:t>België</w:t>
      </w:r>
      <w:r>
        <w:rPr>
          <w:rFonts w:cs="Calibri"/>
        </w:rPr>
        <w:t>. Het</w:t>
      </w:r>
      <w:r w:rsidR="000D4979" w:rsidRPr="00B04838">
        <w:rPr>
          <w:rFonts w:cs="Calibri"/>
        </w:rPr>
        <w:t xml:space="preserve"> doel hier</w:t>
      </w:r>
      <w:r>
        <w:rPr>
          <w:rFonts w:cs="Calibri"/>
        </w:rPr>
        <w:t>van is</w:t>
      </w:r>
      <w:r w:rsidR="000D4979" w:rsidRPr="00B04838">
        <w:rPr>
          <w:rFonts w:cs="Calibri"/>
        </w:rPr>
        <w:t xml:space="preserve"> eventuele verbeteringen vinden</w:t>
      </w:r>
      <w:r w:rsidR="0030360B">
        <w:rPr>
          <w:rFonts w:cs="Calibri"/>
        </w:rPr>
        <w:t xml:space="preserve"> en </w:t>
      </w:r>
      <w:r>
        <w:rPr>
          <w:rFonts w:cs="Calibri"/>
        </w:rPr>
        <w:t>deze toe passen in het Nederlandse recht</w:t>
      </w:r>
      <w:r w:rsidR="000D4979" w:rsidRPr="00B04838">
        <w:rPr>
          <w:rFonts w:cs="Calibri"/>
        </w:rPr>
        <w:t xml:space="preserve">. </w:t>
      </w:r>
      <w:r w:rsidR="00781198">
        <w:rPr>
          <w:rFonts w:cs="Calibri"/>
        </w:rPr>
        <w:t xml:space="preserve">In </w:t>
      </w:r>
      <w:r>
        <w:rPr>
          <w:rFonts w:cs="Calibri"/>
        </w:rPr>
        <w:t>v</w:t>
      </w:r>
      <w:r w:rsidR="00781198">
        <w:rPr>
          <w:rFonts w:cs="Calibri"/>
        </w:rPr>
        <w:t xml:space="preserve">eel Europese buurlanden, denk aan Duitsland, België en het Verenigd-Koninkrijk wordt helemaal geen onderscheid gemaakt tussen dienstverleners en niet-dienstverleners. </w:t>
      </w:r>
      <w:r w:rsidR="008226FA">
        <w:rPr>
          <w:rFonts w:cs="Calibri"/>
        </w:rPr>
        <w:t>Er is één universele regeling voor alle gebruikers van de algemene voorwaarden.</w:t>
      </w:r>
      <w:r w:rsidR="000F3F16">
        <w:rPr>
          <w:rFonts w:cs="Calibri"/>
        </w:rPr>
        <w:t xml:space="preserve"> </w:t>
      </w:r>
      <w:r w:rsidR="008226FA">
        <w:rPr>
          <w:rFonts w:cs="Calibri"/>
        </w:rPr>
        <w:t>De Belgische regeling</w:t>
      </w:r>
      <w:r w:rsidR="00C02BA4">
        <w:rPr>
          <w:rFonts w:cs="Calibri"/>
        </w:rPr>
        <w:t xml:space="preserve">, te vinden in het </w:t>
      </w:r>
      <w:r w:rsidR="00824220">
        <w:rPr>
          <w:rFonts w:cs="Calibri"/>
        </w:rPr>
        <w:t>Wetboek van Economisch Recht</w:t>
      </w:r>
      <w:r w:rsidR="00AB7657">
        <w:rPr>
          <w:rFonts w:cs="Calibri"/>
        </w:rPr>
        <w:t xml:space="preserve"> (WER)</w:t>
      </w:r>
      <w:r w:rsidR="00824220">
        <w:rPr>
          <w:rFonts w:cs="Calibri"/>
        </w:rPr>
        <w:t>,</w:t>
      </w:r>
      <w:r w:rsidR="008226FA">
        <w:rPr>
          <w:rFonts w:cs="Calibri"/>
        </w:rPr>
        <w:t xml:space="preserve"> rondom terhandstelling van de algemene voorwaarden heeft veel overeenkomsten met de Nederlandse regeling</w:t>
      </w:r>
      <w:r w:rsidR="00E7208A">
        <w:rPr>
          <w:rFonts w:cs="Calibri"/>
        </w:rPr>
        <w:t xml:space="preserve">. Dit is voor mij, samen met </w:t>
      </w:r>
      <w:r w:rsidR="00BD1FEC">
        <w:rPr>
          <w:rFonts w:cs="Calibri"/>
        </w:rPr>
        <w:t>de begrijpelijkheid van de Belgische taal</w:t>
      </w:r>
      <w:r w:rsidR="00E7208A">
        <w:rPr>
          <w:rFonts w:cs="Calibri"/>
        </w:rPr>
        <w:t>, de voornaamste reden om</w:t>
      </w:r>
      <w:r w:rsidR="008226FA">
        <w:rPr>
          <w:rFonts w:cs="Calibri"/>
        </w:rPr>
        <w:t xml:space="preserve"> een rechtsvergelijking met het Belgische </w:t>
      </w:r>
      <w:r w:rsidR="00C7298B">
        <w:rPr>
          <w:rFonts w:cs="Calibri"/>
        </w:rPr>
        <w:t>rechtssysteem</w:t>
      </w:r>
      <w:r w:rsidR="00E7208A">
        <w:rPr>
          <w:rFonts w:cs="Calibri"/>
        </w:rPr>
        <w:t xml:space="preserve"> te maken</w:t>
      </w:r>
      <w:r w:rsidR="008226FA">
        <w:rPr>
          <w:rFonts w:cs="Calibri"/>
        </w:rPr>
        <w:t xml:space="preserve">. </w:t>
      </w:r>
      <w:r w:rsidR="00F46B28">
        <w:rPr>
          <w:rFonts w:cs="Calibri"/>
        </w:rPr>
        <w:t xml:space="preserve">Er kan op deze manier een goede afweging gemaakt worden om te bepalen of twee afzonderlijke regelingen meerwaarde hebben. </w:t>
      </w:r>
      <w:r w:rsidR="008226FA">
        <w:rPr>
          <w:rFonts w:cs="Calibri"/>
        </w:rPr>
        <w:t xml:space="preserve">Op deze </w:t>
      </w:r>
      <w:r w:rsidR="00F46B28">
        <w:rPr>
          <w:rFonts w:cs="Calibri"/>
        </w:rPr>
        <w:t>wijze</w:t>
      </w:r>
      <w:r w:rsidR="008226FA">
        <w:rPr>
          <w:rFonts w:cs="Calibri"/>
        </w:rPr>
        <w:t xml:space="preserve"> hoop ik een goed beeld te krijgen van de </w:t>
      </w:r>
      <w:r w:rsidR="002E2025">
        <w:rPr>
          <w:rFonts w:cs="Calibri"/>
        </w:rPr>
        <w:t>werking en consequenties van een universele regeling voor alle gebruikers</w:t>
      </w:r>
      <w:r w:rsidR="00AB7657">
        <w:rPr>
          <w:rFonts w:cs="Calibri"/>
        </w:rPr>
        <w:t xml:space="preserve"> met soortelijke regels als het Nederlandse recht</w:t>
      </w:r>
      <w:r w:rsidR="002E2025">
        <w:rPr>
          <w:rFonts w:cs="Calibri"/>
        </w:rPr>
        <w:t xml:space="preserve">. Dit </w:t>
      </w:r>
      <w:r w:rsidR="005031FF">
        <w:rPr>
          <w:rFonts w:cs="Calibri"/>
        </w:rPr>
        <w:t xml:space="preserve">ga ik </w:t>
      </w:r>
      <w:r w:rsidR="002E2025">
        <w:rPr>
          <w:rFonts w:cs="Calibri"/>
        </w:rPr>
        <w:t>vervolgens vergelijken met het Nederlandse systeem waar wel een</w:t>
      </w:r>
      <w:r w:rsidR="00C7298B">
        <w:rPr>
          <w:rFonts w:cs="Calibri"/>
        </w:rPr>
        <w:t xml:space="preserve"> onderscheid wordt gemaakt, om hier tot slot een</w:t>
      </w:r>
      <w:r w:rsidR="005031FF">
        <w:rPr>
          <w:rFonts w:cs="Calibri"/>
        </w:rPr>
        <w:t xml:space="preserve"> nuttige</w:t>
      </w:r>
      <w:r w:rsidR="00C7298B">
        <w:rPr>
          <w:rFonts w:cs="Calibri"/>
        </w:rPr>
        <w:t xml:space="preserve"> conclusie uit te trekken. </w:t>
      </w:r>
    </w:p>
    <w:p w14:paraId="330460E7" w14:textId="57B436DA" w:rsidR="001B34C6" w:rsidRPr="00915A01" w:rsidRDefault="001B34C6" w:rsidP="00196BD8">
      <w:pPr>
        <w:pStyle w:val="Lijstalinea"/>
        <w:numPr>
          <w:ilvl w:val="1"/>
          <w:numId w:val="5"/>
        </w:numPr>
        <w:spacing w:line="276" w:lineRule="auto"/>
        <w:jc w:val="both"/>
        <w:rPr>
          <w:rFonts w:cs="Calibri"/>
          <w:b/>
          <w:bCs/>
        </w:rPr>
      </w:pPr>
      <w:r w:rsidRPr="00915A01">
        <w:rPr>
          <w:rFonts w:cs="Calibri"/>
          <w:b/>
          <w:bCs/>
        </w:rPr>
        <w:t>Afbakening</w:t>
      </w:r>
    </w:p>
    <w:p w14:paraId="60C4DC5B" w14:textId="34233797" w:rsidR="00DA37DE" w:rsidRPr="00556877" w:rsidRDefault="00C51939" w:rsidP="00556877">
      <w:pPr>
        <w:spacing w:line="276" w:lineRule="auto"/>
        <w:jc w:val="both"/>
        <w:rPr>
          <w:rFonts w:cs="Calibri"/>
        </w:rPr>
      </w:pPr>
      <w:r w:rsidRPr="00B04838">
        <w:rPr>
          <w:rFonts w:cs="Calibri"/>
        </w:rPr>
        <w:t xml:space="preserve">De </w:t>
      </w:r>
      <w:r w:rsidR="003919A6" w:rsidRPr="00B04838">
        <w:rPr>
          <w:rFonts w:cs="Calibri"/>
        </w:rPr>
        <w:t>terhandstelling</w:t>
      </w:r>
      <w:r w:rsidRPr="00B04838">
        <w:rPr>
          <w:rFonts w:cs="Calibri"/>
        </w:rPr>
        <w:t xml:space="preserve"> van de algemene voorwaarden kan zien op meerdere vlakken. Het kan gaan om nationale of internationale overeenkomsten; er kan een onderscheid worden gemaakt tussen elektronisch</w:t>
      </w:r>
      <w:r w:rsidR="008860F5">
        <w:rPr>
          <w:rFonts w:cs="Calibri"/>
        </w:rPr>
        <w:t>e overeenkomsten</w:t>
      </w:r>
      <w:r w:rsidRPr="00B04838">
        <w:rPr>
          <w:rFonts w:cs="Calibri"/>
        </w:rPr>
        <w:t xml:space="preserve"> en papier</w:t>
      </w:r>
      <w:r w:rsidR="006032FB">
        <w:rPr>
          <w:rFonts w:cs="Calibri"/>
        </w:rPr>
        <w:t>en overeenkomsten</w:t>
      </w:r>
      <w:r w:rsidRPr="00B04838">
        <w:rPr>
          <w:rFonts w:cs="Calibri"/>
        </w:rPr>
        <w:t xml:space="preserve">. </w:t>
      </w:r>
      <w:r w:rsidR="000F3E2B" w:rsidRPr="00B04838">
        <w:rPr>
          <w:rFonts w:cs="Calibri"/>
        </w:rPr>
        <w:t>Er zal</w:t>
      </w:r>
      <w:r w:rsidR="008860F5">
        <w:rPr>
          <w:rFonts w:cs="Calibri"/>
        </w:rPr>
        <w:t xml:space="preserve"> in deze scriptie</w:t>
      </w:r>
      <w:r w:rsidR="000F3E2B" w:rsidRPr="00B04838">
        <w:rPr>
          <w:rFonts w:cs="Calibri"/>
        </w:rPr>
        <w:t xml:space="preserve"> </w:t>
      </w:r>
      <w:r w:rsidR="006C0507">
        <w:rPr>
          <w:rFonts w:cs="Calibri"/>
        </w:rPr>
        <w:t>voornamelijk</w:t>
      </w:r>
      <w:r w:rsidR="000F3E2B" w:rsidRPr="00B04838">
        <w:rPr>
          <w:rFonts w:cs="Calibri"/>
        </w:rPr>
        <w:t xml:space="preserve"> ingegaan worden op de vereisten voor elektronische </w:t>
      </w:r>
      <w:r w:rsidR="0087116B">
        <w:rPr>
          <w:rFonts w:cs="Calibri"/>
        </w:rPr>
        <w:t>algemene voorwaarden</w:t>
      </w:r>
      <w:r w:rsidR="006C0507">
        <w:rPr>
          <w:rFonts w:cs="Calibri"/>
        </w:rPr>
        <w:t xml:space="preserve"> </w:t>
      </w:r>
      <w:r w:rsidR="008860F5">
        <w:rPr>
          <w:rFonts w:cs="Calibri"/>
        </w:rPr>
        <w:t>in verband met de digitalisering van onze samenleving</w:t>
      </w:r>
      <w:r w:rsidR="006C0507">
        <w:rPr>
          <w:rFonts w:cs="Calibri"/>
        </w:rPr>
        <w:t xml:space="preserve">. Verder zal er niet diep ingegaan worden op </w:t>
      </w:r>
      <w:r w:rsidR="0087116B">
        <w:rPr>
          <w:rFonts w:cs="Calibri"/>
        </w:rPr>
        <w:t>schriftelijke algemene voorwaarden</w:t>
      </w:r>
      <w:r w:rsidRPr="00B04838">
        <w:rPr>
          <w:rFonts w:cs="Calibri"/>
        </w:rPr>
        <w:t>.</w:t>
      </w:r>
      <w:r w:rsidR="0087116B">
        <w:rPr>
          <w:rFonts w:cs="Calibri"/>
        </w:rPr>
        <w:t xml:space="preserve"> Alleen de nodige zaken voor de begrijpelijkheid van deze scriptie zullen behandeld worden. Er zullen in de nieuwe suggestie dan ook geen specifieke wijzigingen worden aangebracht in de schriftelijke terhandstelling van algemene voorwaarden.</w:t>
      </w:r>
      <w:r w:rsidR="00C8794D">
        <w:rPr>
          <w:rFonts w:cs="Calibri"/>
        </w:rPr>
        <w:t xml:space="preserve"> </w:t>
      </w:r>
      <w:r w:rsidR="00BA1D48">
        <w:rPr>
          <w:rFonts w:cs="Calibri"/>
        </w:rPr>
        <w:t>Er zal geen onderscheid worden gemaakt tussen</w:t>
      </w:r>
      <w:r w:rsidR="00456DCD">
        <w:rPr>
          <w:rFonts w:cs="Calibri"/>
        </w:rPr>
        <w:t xml:space="preserve"> consumenten</w:t>
      </w:r>
      <w:r w:rsidR="00BA1D48">
        <w:rPr>
          <w:rFonts w:cs="Calibri"/>
        </w:rPr>
        <w:t xml:space="preserve">overeenkomsten </w:t>
      </w:r>
      <w:r w:rsidR="00456DCD">
        <w:rPr>
          <w:rFonts w:cs="Calibri"/>
        </w:rPr>
        <w:t xml:space="preserve">en overeenkomsten tussen </w:t>
      </w:r>
      <w:r w:rsidR="00C8794D">
        <w:rPr>
          <w:rFonts w:cs="Calibri"/>
        </w:rPr>
        <w:t>ondernemers</w:t>
      </w:r>
      <w:r w:rsidR="00456DCD">
        <w:rPr>
          <w:rFonts w:cs="Calibri"/>
        </w:rPr>
        <w:t>.</w:t>
      </w:r>
      <w:r w:rsidR="00822B8B">
        <w:rPr>
          <w:rFonts w:cs="Calibri"/>
        </w:rPr>
        <w:t xml:space="preserve"> Tot slot zullen eventuele uitzonderingen voor internationale overeenkomsten ook niet worden behandeld</w:t>
      </w:r>
      <w:r w:rsidR="003B61F7">
        <w:rPr>
          <w:rFonts w:cs="Calibri"/>
        </w:rPr>
        <w:t>.</w:t>
      </w:r>
      <w:r w:rsidR="00456DCD">
        <w:rPr>
          <w:rFonts w:cs="Calibri"/>
        </w:rPr>
        <w:t xml:space="preserve"> </w:t>
      </w:r>
      <w:r w:rsidR="00456DCD" w:rsidRPr="00B04838">
        <w:rPr>
          <w:rFonts w:cs="Calibri"/>
        </w:rPr>
        <w:t>Dit is om de omvang van deze scriptie te beperken</w:t>
      </w:r>
      <w:r w:rsidR="00C2360E">
        <w:rPr>
          <w:rFonts w:cs="Calibri"/>
        </w:rPr>
        <w:t>.</w:t>
      </w:r>
    </w:p>
    <w:p w14:paraId="7AD38CF5" w14:textId="209A5EF3" w:rsidR="00334B32" w:rsidRDefault="0058529F" w:rsidP="00196BD8">
      <w:pPr>
        <w:pStyle w:val="Kop1"/>
        <w:numPr>
          <w:ilvl w:val="0"/>
          <w:numId w:val="5"/>
        </w:numPr>
        <w:spacing w:line="276" w:lineRule="auto"/>
        <w:jc w:val="both"/>
        <w:rPr>
          <w:rFonts w:asciiTheme="minorHAnsi" w:hAnsiTheme="minorHAnsi"/>
        </w:rPr>
      </w:pPr>
      <w:bookmarkStart w:id="4" w:name="_Toc182382064"/>
      <w:bookmarkStart w:id="5" w:name="_Toc186375501"/>
      <w:r w:rsidRPr="00B04838">
        <w:rPr>
          <w:rFonts w:asciiTheme="minorHAnsi" w:hAnsiTheme="minorHAnsi"/>
        </w:rPr>
        <w:t xml:space="preserve">Hoofdstuk </w:t>
      </w:r>
      <w:r w:rsidR="00D7353C">
        <w:rPr>
          <w:rFonts w:asciiTheme="minorHAnsi" w:hAnsiTheme="minorHAnsi"/>
        </w:rPr>
        <w:t>2</w:t>
      </w:r>
      <w:r w:rsidRPr="00B04838">
        <w:rPr>
          <w:rFonts w:asciiTheme="minorHAnsi" w:hAnsiTheme="minorHAnsi"/>
        </w:rPr>
        <w:t xml:space="preserve"> –</w:t>
      </w:r>
      <w:r w:rsidR="00EA70E6">
        <w:rPr>
          <w:rFonts w:asciiTheme="minorHAnsi" w:hAnsiTheme="minorHAnsi"/>
        </w:rPr>
        <w:t xml:space="preserve"> </w:t>
      </w:r>
      <w:r w:rsidR="001B5E8B">
        <w:rPr>
          <w:rFonts w:asciiTheme="minorHAnsi" w:hAnsiTheme="minorHAnsi"/>
        </w:rPr>
        <w:t xml:space="preserve">De </w:t>
      </w:r>
      <w:r w:rsidRPr="00B04838">
        <w:rPr>
          <w:rFonts w:asciiTheme="minorHAnsi" w:hAnsiTheme="minorHAnsi"/>
        </w:rPr>
        <w:t>regeling van art. 6:234</w:t>
      </w:r>
      <w:r w:rsidR="00E31F9A">
        <w:rPr>
          <w:rFonts w:asciiTheme="minorHAnsi" w:hAnsiTheme="minorHAnsi"/>
        </w:rPr>
        <w:t xml:space="preserve"> BW</w:t>
      </w:r>
      <w:bookmarkEnd w:id="4"/>
      <w:bookmarkEnd w:id="5"/>
    </w:p>
    <w:p w14:paraId="465F11A6" w14:textId="674343EA" w:rsidR="00E827FA" w:rsidRPr="00E827FA" w:rsidRDefault="00E827FA" w:rsidP="00196BD8">
      <w:pPr>
        <w:spacing w:line="276" w:lineRule="auto"/>
        <w:jc w:val="both"/>
      </w:pPr>
      <w:r>
        <w:t xml:space="preserve">In dit hoofdstuk worden de </w:t>
      </w:r>
      <w:r w:rsidR="00EF005D">
        <w:t>informatieplichten</w:t>
      </w:r>
      <w:r>
        <w:t xml:space="preserve"> van </w:t>
      </w:r>
      <w:r w:rsidR="00E520B3">
        <w:t xml:space="preserve">terhandstelling ex </w:t>
      </w:r>
      <w:r>
        <w:t xml:space="preserve">artikel 6:234 BW </w:t>
      </w:r>
      <w:r w:rsidR="000038D2">
        <w:t>behandeld</w:t>
      </w:r>
      <w:r>
        <w:t xml:space="preserve">. </w:t>
      </w:r>
      <w:r w:rsidR="0069732B">
        <w:t xml:space="preserve">In de eerste paragraaf zullen kort de vereisten worden </w:t>
      </w:r>
      <w:r w:rsidR="00880F1A">
        <w:t>genoemd</w:t>
      </w:r>
      <w:r w:rsidR="0069732B">
        <w:t>.</w:t>
      </w:r>
      <w:r w:rsidR="00964B2F">
        <w:t xml:space="preserve"> Daarna </w:t>
      </w:r>
      <w:r w:rsidR="00964B2F">
        <w:lastRenderedPageBreak/>
        <w:t xml:space="preserve">zullen deze vereisten </w:t>
      </w:r>
      <w:r w:rsidR="0064799C">
        <w:t>in aparte paragrafen</w:t>
      </w:r>
      <w:r w:rsidR="00964B2F">
        <w:t xml:space="preserve"> worden behandeld </w:t>
      </w:r>
      <w:r w:rsidR="0064799C">
        <w:t>en ingevuld</w:t>
      </w:r>
      <w:r w:rsidR="00771CAF">
        <w:t xml:space="preserve"> worden</w:t>
      </w:r>
      <w:r w:rsidR="0064799C">
        <w:t xml:space="preserve"> door jurisprudentie. </w:t>
      </w:r>
      <w:r w:rsidR="00DA57E8">
        <w:t xml:space="preserve">Er wordt in de tweede paragraaf kort stilgestaan bij de </w:t>
      </w:r>
      <w:r w:rsidR="008C2E6B">
        <w:t xml:space="preserve">algemene eisen voor terhandstelling. In de verdere paragrafen zal dieper op de vereisten voor elektronische terhandstelling worden ingegaan. </w:t>
      </w:r>
      <w:r w:rsidR="00314B64">
        <w:t>Het hoofdstuk wordt afgesloten met een tussenconclusie.</w:t>
      </w:r>
    </w:p>
    <w:p w14:paraId="79338D2E" w14:textId="00DBD360" w:rsidR="0058529F" w:rsidRDefault="00E378F5" w:rsidP="00C40602">
      <w:pPr>
        <w:pStyle w:val="Kop3"/>
        <w:numPr>
          <w:ilvl w:val="1"/>
          <w:numId w:val="5"/>
        </w:numPr>
        <w:spacing w:line="276" w:lineRule="auto"/>
        <w:jc w:val="both"/>
      </w:pPr>
      <w:bookmarkStart w:id="6" w:name="_Toc182382065"/>
      <w:bookmarkStart w:id="7" w:name="_Toc186375502"/>
      <w:r>
        <w:t>De ei</w:t>
      </w:r>
      <w:r w:rsidR="00E31F9A">
        <w:t>sen van art. 6:234 BW</w:t>
      </w:r>
      <w:bookmarkEnd w:id="6"/>
      <w:bookmarkEnd w:id="7"/>
    </w:p>
    <w:p w14:paraId="5DD22585" w14:textId="7E7E3229" w:rsidR="008655D5" w:rsidRDefault="007322A0" w:rsidP="00196BD8">
      <w:pPr>
        <w:spacing w:line="276" w:lineRule="auto"/>
        <w:jc w:val="both"/>
      </w:pPr>
      <w:r>
        <w:t>Op grond van art. 6:233 sub b BW is</w:t>
      </w:r>
      <w:r w:rsidR="009B5ABA">
        <w:t xml:space="preserve"> een beding in de algemene voorwaarden vernietigbaar wanneer de wederpartij geen redelijke mogelijkheid is geboden om van de voorwaarden kennis te nemen.</w:t>
      </w:r>
      <w:r w:rsidR="00D0700D">
        <w:t xml:space="preserve"> </w:t>
      </w:r>
      <w:r w:rsidR="006675DC">
        <w:t xml:space="preserve">Art. 6:234 BW geeft aan in welke gevallen de kennisneming mogelijk was en er dus niet voldaan kan zijn aan de vernietiging ex art. 6:233 sub b BW. </w:t>
      </w:r>
      <w:r w:rsidR="00C03DAC">
        <w:t xml:space="preserve">Sinds de implementatie van de </w:t>
      </w:r>
      <w:r w:rsidR="002F11CF">
        <w:t>D</w:t>
      </w:r>
      <w:r w:rsidR="00C03DAC">
        <w:t xml:space="preserve">ienstenrichtlijn is de </w:t>
      </w:r>
      <w:r w:rsidR="00DF4BE3">
        <w:t>inhoud van art. 6:234 lid 1 BW</w:t>
      </w:r>
      <w:r w:rsidR="007B309E">
        <w:t xml:space="preserve"> meermaals</w:t>
      </w:r>
      <w:r w:rsidR="00DF4BE3">
        <w:t xml:space="preserve"> veranderd.</w:t>
      </w:r>
      <w:r w:rsidR="00FE30DE">
        <w:rPr>
          <w:rStyle w:val="Voetnootmarkering"/>
        </w:rPr>
        <w:footnoteReference w:id="16"/>
      </w:r>
      <w:r w:rsidR="006E7CD2">
        <w:t xml:space="preserve"> </w:t>
      </w:r>
      <w:r w:rsidR="00154203">
        <w:t xml:space="preserve">Art. 6:234 lid 1 BW bevat nu een verwijzing naar art. 6:230c BW voor </w:t>
      </w:r>
      <w:r w:rsidR="004B6C53">
        <w:t>de terhandstellingsverplichting van dienstverrichters</w:t>
      </w:r>
      <w:r w:rsidR="00290C17">
        <w:t>.</w:t>
      </w:r>
      <w:r w:rsidR="00DF4BE3">
        <w:t xml:space="preserve"> Het is de vraag hoe ruim je </w:t>
      </w:r>
      <w:r w:rsidR="002A63D1">
        <w:t xml:space="preserve">lid 1 </w:t>
      </w:r>
      <w:r w:rsidR="007D05C3">
        <w:t>kunt</w:t>
      </w:r>
      <w:r w:rsidR="00DF4BE3">
        <w:t xml:space="preserve"> interpreteren. </w:t>
      </w:r>
      <w:r w:rsidR="000D12CB">
        <w:t>Dit vraagstuk</w:t>
      </w:r>
      <w:r w:rsidR="00BE429B">
        <w:t xml:space="preserve"> zal in paragraaf 2.2 uitvoerig worden besproken.</w:t>
      </w:r>
    </w:p>
    <w:p w14:paraId="0FDD92E9" w14:textId="5822302B" w:rsidR="00F47FD8" w:rsidRDefault="00755BDF" w:rsidP="00196BD8">
      <w:pPr>
        <w:spacing w:line="276" w:lineRule="auto"/>
        <w:jc w:val="both"/>
      </w:pPr>
      <w:r>
        <w:t xml:space="preserve">Art. 6:234 lid 2 en 3 BW behandelen specifiek de mogelijkheden tot </w:t>
      </w:r>
      <w:r w:rsidR="00410BA3">
        <w:t>het gebruik van elektronische algemene voorwaarden.</w:t>
      </w:r>
      <w:r w:rsidR="00CB4430">
        <w:t xml:space="preserve"> Dit is in beginsel toegestaan bij onlineovereenkomsten zolang de algemene voorwaarde</w:t>
      </w:r>
      <w:r w:rsidR="009F1CF3">
        <w:t>n</w:t>
      </w:r>
      <w:r w:rsidR="00B5421C">
        <w:t xml:space="preserve"> langs elektronische weg ter beschikking worden gesteld en daarna gedownload en opgeslagen kunnen worden. Voor offlineovereenkomsten is dit ook toegestaan, mits de wederpartij uitdrukkelijke toestemming heeft gegeven tot het gebruik van elektronische algemene voorwaarden.</w:t>
      </w:r>
    </w:p>
    <w:p w14:paraId="01CEBA24" w14:textId="5A1D5D52" w:rsidR="0032569F" w:rsidRPr="002C5A02" w:rsidRDefault="0032569F" w:rsidP="00196BD8">
      <w:pPr>
        <w:pStyle w:val="Lijstalinea"/>
        <w:numPr>
          <w:ilvl w:val="2"/>
          <w:numId w:val="28"/>
        </w:numPr>
        <w:spacing w:line="276" w:lineRule="auto"/>
        <w:jc w:val="both"/>
        <w:rPr>
          <w:b/>
          <w:bCs/>
        </w:rPr>
      </w:pPr>
      <w:r w:rsidRPr="002C5A02">
        <w:rPr>
          <w:b/>
          <w:bCs/>
        </w:rPr>
        <w:t>De bekendheidsuitzondering</w:t>
      </w:r>
    </w:p>
    <w:p w14:paraId="46DF93B3" w14:textId="4FB6272E" w:rsidR="00D04FEF" w:rsidRDefault="003B6A56" w:rsidP="00196BD8">
      <w:pPr>
        <w:spacing w:line="276" w:lineRule="auto"/>
        <w:jc w:val="both"/>
      </w:pPr>
      <w:r>
        <w:t xml:space="preserve">In art. </w:t>
      </w:r>
      <w:r w:rsidR="004813CC">
        <w:t>2:234 BW is neergelegd hoe een gebruiker aan zijn informatieverplichtingen kan voldoen.</w:t>
      </w:r>
      <w:r w:rsidR="00602BC9">
        <w:t xml:space="preserve"> Er wordt niet expliciet in de wet bepaald dat deze opsomming limitatief is. De Hoge Raad heeft zich hier echter</w:t>
      </w:r>
      <w:r w:rsidR="002E2DFF">
        <w:t xml:space="preserve"> in 1999</w:t>
      </w:r>
      <w:r w:rsidR="00602BC9">
        <w:t xml:space="preserve"> wel over uitgesproken in</w:t>
      </w:r>
      <w:r w:rsidR="00C92F2B">
        <w:t xml:space="preserve"> </w:t>
      </w:r>
      <w:r w:rsidR="002E2DFF" w:rsidRPr="002E2DFF">
        <w:rPr>
          <w:i/>
          <w:iCs/>
        </w:rPr>
        <w:t>Geurtzen/Kampstaal</w:t>
      </w:r>
      <w:r w:rsidR="00556877">
        <w:rPr>
          <w:rStyle w:val="Voetnootmarkering"/>
          <w:i/>
          <w:iCs/>
        </w:rPr>
        <w:footnoteReference w:id="17"/>
      </w:r>
      <w:r w:rsidR="002E2DFF">
        <w:t xml:space="preserve">; </w:t>
      </w:r>
      <w:r w:rsidR="00164313">
        <w:t xml:space="preserve">De wetgever heeft </w:t>
      </w:r>
      <w:r w:rsidR="00611C00">
        <w:t xml:space="preserve">art. 6:234 lid 1 BW uitputtend bedoeld in de ogen van de Hoge Raad. </w:t>
      </w:r>
    </w:p>
    <w:p w14:paraId="612AE312" w14:textId="5D42CC18" w:rsidR="0032569F" w:rsidRDefault="007E0170" w:rsidP="00196BD8">
      <w:pPr>
        <w:spacing w:line="276" w:lineRule="auto"/>
        <w:jc w:val="both"/>
      </w:pPr>
      <w:r>
        <w:t>Hier wordt door de Hoge Raad wel aan toegevoegd dat</w:t>
      </w:r>
      <w:r w:rsidR="00A75335">
        <w:t xml:space="preserve"> </w:t>
      </w:r>
      <w:r w:rsidR="00E547CF">
        <w:t>ook sprake is van een redelijke mogelijkheid tot kennisneming van de algemene voorwaarden</w:t>
      </w:r>
      <w:r w:rsidR="007D1B24">
        <w:t xml:space="preserve">, wanneer </w:t>
      </w:r>
      <w:r w:rsidR="00AB50E5">
        <w:t>de wederpartij</w:t>
      </w:r>
      <w:r w:rsidR="007D1B24">
        <w:t xml:space="preserve"> ten tijde van het sluiten van de overeenkomst </w:t>
      </w:r>
      <w:r w:rsidR="00546304">
        <w:t xml:space="preserve">bekend </w:t>
      </w:r>
      <w:r w:rsidR="00AB50E5">
        <w:t>was</w:t>
      </w:r>
      <w:r w:rsidR="00546304">
        <w:t xml:space="preserve"> of geacht </w:t>
      </w:r>
      <w:r w:rsidR="00AB50E5">
        <w:t>werd</w:t>
      </w:r>
      <w:r w:rsidR="00546304">
        <w:t xml:space="preserve"> bekend te zijn met de algemene voorwaarden.</w:t>
      </w:r>
      <w:r w:rsidR="00BB5AE4">
        <w:t xml:space="preserve"> </w:t>
      </w:r>
      <w:r w:rsidR="000E50C4">
        <w:t>De wederpartij kan zich dan niet op vernietiging beroepen.</w:t>
      </w:r>
      <w:r w:rsidR="00BB5AE4">
        <w:t xml:space="preserve"> Hierbij valt te denken aan</w:t>
      </w:r>
      <w:r w:rsidR="0021355A">
        <w:t xml:space="preserve"> partijen die al langer zaken met elkaar doen en de algemene voorwaarden al eerder ter handen gesteld hebben gekregen </w:t>
      </w:r>
      <w:r w:rsidR="00D87088">
        <w:t>maar ook</w:t>
      </w:r>
      <w:r w:rsidR="009546A4">
        <w:t xml:space="preserve"> een bedrijfshal w</w:t>
      </w:r>
      <w:r w:rsidR="00DF0D88">
        <w:t>aarin een bord hangt met een exoneratieclausule (bijvoorbeeld: ‘De vereniging is niet aansprakelijk voor het verlies van eigendommen’)</w:t>
      </w:r>
      <w:r w:rsidR="009B009B">
        <w:t>.</w:t>
      </w:r>
      <w:r w:rsidR="009740A7">
        <w:t xml:space="preserve"> </w:t>
      </w:r>
      <w:r w:rsidR="009B009B">
        <w:t>D</w:t>
      </w:r>
      <w:r w:rsidR="00047863">
        <w:t>it bord</w:t>
      </w:r>
      <w:r w:rsidR="009740A7">
        <w:t xml:space="preserve"> zal immers al vaker door de bezoekers gezien zijn</w:t>
      </w:r>
      <w:r w:rsidR="00DF0D88">
        <w:t xml:space="preserve">. </w:t>
      </w:r>
      <w:r w:rsidR="000B7FEA">
        <w:t>Voorts kan een beroep</w:t>
      </w:r>
      <w:r w:rsidR="00EE56C0">
        <w:t xml:space="preserve"> op vernietiging ex art. 6:233</w:t>
      </w:r>
      <w:r w:rsidR="006A3FB3">
        <w:t xml:space="preserve"> sub </w:t>
      </w:r>
      <w:r w:rsidR="00EE56C0">
        <w:t>b en 6:234 lid 1 BW</w:t>
      </w:r>
      <w:r w:rsidR="000B7FEA">
        <w:t xml:space="preserve"> </w:t>
      </w:r>
      <w:r w:rsidR="005B27F4">
        <w:t xml:space="preserve">door omstandigheden </w:t>
      </w:r>
      <w:r w:rsidR="000B7FEA">
        <w:t xml:space="preserve">naar maatstaven van redelijkheid en </w:t>
      </w:r>
      <w:r w:rsidR="000B7FEA">
        <w:lastRenderedPageBreak/>
        <w:t>billijkheid</w:t>
      </w:r>
      <w:r w:rsidR="005B27F4">
        <w:t xml:space="preserve"> </w:t>
      </w:r>
      <w:r w:rsidR="0011056C">
        <w:t>onaanvaardbaar zijn.</w:t>
      </w:r>
      <w:r w:rsidR="0011056C">
        <w:rPr>
          <w:rStyle w:val="Voetnootmarkering"/>
        </w:rPr>
        <w:footnoteReference w:id="18"/>
      </w:r>
      <w:r w:rsidR="0011056C">
        <w:t xml:space="preserve"> </w:t>
      </w:r>
      <w:r w:rsidR="004A4608">
        <w:t xml:space="preserve">Dit is een strenge </w:t>
      </w:r>
      <w:r w:rsidR="00A21CC9">
        <w:t>maatstaf</w:t>
      </w:r>
      <w:r w:rsidR="00E42FBB">
        <w:t xml:space="preserve"> waar niet snel aan voldaan zal zijn.</w:t>
      </w:r>
      <w:r w:rsidR="00A21CC9">
        <w:t xml:space="preserve"> Op de gebruiker rust immers een </w:t>
      </w:r>
      <w:r w:rsidR="00E42FBB">
        <w:t>actieve informatieplicht.</w:t>
      </w:r>
      <w:r w:rsidR="00E42FBB">
        <w:rPr>
          <w:rStyle w:val="Voetnootmarkering"/>
        </w:rPr>
        <w:footnoteReference w:id="19"/>
      </w:r>
    </w:p>
    <w:p w14:paraId="765EBF14" w14:textId="1B7E3C43" w:rsidR="001F017C" w:rsidRDefault="0011056C" w:rsidP="00196BD8">
      <w:pPr>
        <w:spacing w:line="276" w:lineRule="auto"/>
        <w:jc w:val="both"/>
      </w:pPr>
      <w:r>
        <w:t xml:space="preserve">In 2022 is hier </w:t>
      </w:r>
      <w:r w:rsidR="005E312F">
        <w:t xml:space="preserve">door de Hoge Raad in het arrest </w:t>
      </w:r>
      <w:r w:rsidR="003E1821" w:rsidRPr="00D304A2">
        <w:rPr>
          <w:i/>
          <w:iCs/>
        </w:rPr>
        <w:t>De eend</w:t>
      </w:r>
      <w:r w:rsidR="001F017C" w:rsidRPr="00D304A2">
        <w:rPr>
          <w:i/>
          <w:iCs/>
        </w:rPr>
        <w:t>racht/</w:t>
      </w:r>
      <w:proofErr w:type="spellStart"/>
      <w:r w:rsidR="001F017C" w:rsidRPr="00D304A2">
        <w:rPr>
          <w:i/>
          <w:iCs/>
        </w:rPr>
        <w:t>Doens</w:t>
      </w:r>
      <w:proofErr w:type="spellEnd"/>
      <w:r w:rsidR="001F017C" w:rsidRPr="00D304A2">
        <w:rPr>
          <w:i/>
          <w:iCs/>
        </w:rPr>
        <w:t xml:space="preserve"> </w:t>
      </w:r>
      <w:r w:rsidR="00D304A2">
        <w:t xml:space="preserve">de nuancering aan toegevoegd dat het niet uitmaakt of </w:t>
      </w:r>
      <w:r w:rsidR="00E87F15">
        <w:t>de bekendheid met de algemene voorwaarden is ontstaan door toedoen van de gebruiker of op</w:t>
      </w:r>
      <w:r w:rsidR="002C0070">
        <w:t xml:space="preserve"> een</w:t>
      </w:r>
      <w:r w:rsidR="00E87F15">
        <w:t xml:space="preserve"> andere wijze</w:t>
      </w:r>
      <w:r w:rsidR="00A57A5E">
        <w:t xml:space="preserve"> is ontstaan</w:t>
      </w:r>
      <w:r w:rsidR="00A934CF">
        <w:t>.</w:t>
      </w:r>
      <w:r w:rsidR="00950431">
        <w:t xml:space="preserve"> Ook in </w:t>
      </w:r>
      <w:r w:rsidR="003C104F">
        <w:t xml:space="preserve">het geval dat de kennis van de algemene voorwaarden </w:t>
      </w:r>
      <w:r w:rsidR="000C4ECB">
        <w:t>niet is ontstaan door de gebruiker</w:t>
      </w:r>
      <w:r w:rsidR="00950431">
        <w:t xml:space="preserve"> kan de wederpartij zich niet beroepen op </w:t>
      </w:r>
      <w:r w:rsidR="00A934CF">
        <w:t>vernietiging van de algemene voorwaarden.</w:t>
      </w:r>
      <w:r w:rsidR="00A934CF">
        <w:rPr>
          <w:rStyle w:val="Voetnootmarkering"/>
        </w:rPr>
        <w:footnoteReference w:id="20"/>
      </w:r>
    </w:p>
    <w:p w14:paraId="47E87909" w14:textId="64E94F40" w:rsidR="001D0882" w:rsidRDefault="001D0882" w:rsidP="00196BD8">
      <w:pPr>
        <w:pStyle w:val="Kop2"/>
        <w:numPr>
          <w:ilvl w:val="1"/>
          <w:numId w:val="28"/>
        </w:numPr>
        <w:spacing w:line="276" w:lineRule="auto"/>
        <w:jc w:val="both"/>
      </w:pPr>
      <w:bookmarkStart w:id="8" w:name="_Toc182382066"/>
      <w:bookmarkStart w:id="9" w:name="_Toc186375503"/>
      <w:r>
        <w:t>Terhandstelling van de algemene voorwaarden (lid 1)</w:t>
      </w:r>
      <w:bookmarkEnd w:id="8"/>
      <w:bookmarkEnd w:id="9"/>
    </w:p>
    <w:p w14:paraId="7ECA4E37" w14:textId="5798A4FA" w:rsidR="00556686" w:rsidRDefault="00353A48" w:rsidP="00196BD8">
      <w:pPr>
        <w:spacing w:line="276" w:lineRule="auto"/>
        <w:jc w:val="both"/>
      </w:pPr>
      <w:r>
        <w:t xml:space="preserve">Op het moment dat een gebruiker de </w:t>
      </w:r>
      <w:r w:rsidR="008458A5">
        <w:t>algemene</w:t>
      </w:r>
      <w:r>
        <w:t xml:space="preserve"> voor</w:t>
      </w:r>
      <w:r w:rsidR="008458A5">
        <w:t>waarden</w:t>
      </w:r>
      <w:r w:rsidR="009417D5">
        <w:t xml:space="preserve"> v</w:t>
      </w:r>
      <w:r w:rsidR="001031B7">
        <w:t>óó</w:t>
      </w:r>
      <w:r w:rsidR="009417D5">
        <w:t xml:space="preserve">r of tijdens het sluiten van de overeenkomst </w:t>
      </w:r>
      <w:r w:rsidR="00B22F6C">
        <w:t>aan de wederpartij ter hand heeft gesteld</w:t>
      </w:r>
      <w:r w:rsidR="00336A71">
        <w:t xml:space="preserve"> heeft de gebruiker </w:t>
      </w:r>
      <w:r w:rsidR="006E4E3D">
        <w:t>een van de</w:t>
      </w:r>
      <w:r w:rsidR="00336A71">
        <w:t xml:space="preserve"> in art. 6:233 sub b BW bedoelde</w:t>
      </w:r>
      <w:r w:rsidR="004B5A89">
        <w:t xml:space="preserve"> redelijke</w:t>
      </w:r>
      <w:r w:rsidR="00336A71">
        <w:t xml:space="preserve"> mogelijkhe</w:t>
      </w:r>
      <w:r w:rsidR="004B5A89">
        <w:t>id tot kennisname</w:t>
      </w:r>
      <w:r w:rsidR="00336A71">
        <w:t xml:space="preserve"> geboden.</w:t>
      </w:r>
      <w:r w:rsidR="00B22F6C">
        <w:t xml:space="preserve"> </w:t>
      </w:r>
      <w:r w:rsidR="00CB4B86">
        <w:t xml:space="preserve">Daarnaast </w:t>
      </w:r>
      <w:r w:rsidR="00336A71">
        <w:t xml:space="preserve">is deze mogelijkheid </w:t>
      </w:r>
      <w:r w:rsidR="00602758">
        <w:t xml:space="preserve">volgens art. 6:234 </w:t>
      </w:r>
      <w:r w:rsidR="00644EEE">
        <w:t xml:space="preserve">BW </w:t>
      </w:r>
      <w:r w:rsidR="00336A71">
        <w:t xml:space="preserve">geboden indien </w:t>
      </w:r>
      <w:r w:rsidR="00907A4B">
        <w:t>de algemene voorwaarden overeenkomstig art. 6:230c BW worden verstrekt</w:t>
      </w:r>
      <w:r w:rsidR="00644EEE">
        <w:t>.</w:t>
      </w:r>
      <w:r w:rsidR="006445F5">
        <w:t xml:space="preserve"> </w:t>
      </w:r>
      <w:r w:rsidR="008D7CB6">
        <w:t xml:space="preserve">Zijn deze twee </w:t>
      </w:r>
      <w:r w:rsidR="009C419C">
        <w:t xml:space="preserve">wijzen redelijkerwijs niet mogelijk dan kan </w:t>
      </w:r>
      <w:r w:rsidR="009F503A">
        <w:t xml:space="preserve">ook </w:t>
      </w:r>
      <w:r w:rsidR="003B5609">
        <w:t>bekend</w:t>
      </w:r>
      <w:r w:rsidR="009F503A">
        <w:t xml:space="preserve"> </w:t>
      </w:r>
      <w:r w:rsidR="003B5609">
        <w:t>worden</w:t>
      </w:r>
      <w:r w:rsidR="009F503A">
        <w:t xml:space="preserve"> gemaakt dat de algemene voorwaarden ter inzage bij </w:t>
      </w:r>
      <w:r w:rsidR="00556686">
        <w:t xml:space="preserve">de gebruiker liggen of bij een door hem opgegeven Kamer van Koophandel of </w:t>
      </w:r>
      <w:r w:rsidR="00556877">
        <w:t>griffie van de rechtbank.</w:t>
      </w:r>
      <w:r w:rsidR="00556686">
        <w:t xml:space="preserve"> Op verzoek kunnen de algemene voorwaarden ook worden toegezonden. </w:t>
      </w:r>
    </w:p>
    <w:p w14:paraId="5A60DF17" w14:textId="7F1B2F49" w:rsidR="00B74D6E" w:rsidRDefault="008D5D4F" w:rsidP="00196BD8">
      <w:pPr>
        <w:spacing w:line="276" w:lineRule="auto"/>
        <w:jc w:val="both"/>
      </w:pPr>
      <w:r>
        <w:t xml:space="preserve">De verwijzing </w:t>
      </w:r>
      <w:r w:rsidR="00556686">
        <w:t xml:space="preserve">naar art. 6:230c BW </w:t>
      </w:r>
      <w:r>
        <w:t xml:space="preserve">is een implementatie van de </w:t>
      </w:r>
      <w:r w:rsidR="002F11CF">
        <w:t>D</w:t>
      </w:r>
      <w:r>
        <w:t>ienstenrichtlijn</w:t>
      </w:r>
      <w:r w:rsidR="00862ADF">
        <w:t xml:space="preserve">, waardoor de dienstverrichter niet is gebonden aan de vereisten van terhandstelling als genoemd in art. 6:234 BW. </w:t>
      </w:r>
      <w:r w:rsidR="005A0355">
        <w:t>Sinds</w:t>
      </w:r>
      <w:r w:rsidR="00C5481E">
        <w:t xml:space="preserve"> de initiële </w:t>
      </w:r>
      <w:r w:rsidR="00215A16">
        <w:t xml:space="preserve">wetswijziging in 2009 </w:t>
      </w:r>
      <w:r w:rsidR="005A0355">
        <w:t>is</w:t>
      </w:r>
      <w:r w:rsidR="00215A16">
        <w:t xml:space="preserve"> </w:t>
      </w:r>
      <w:r w:rsidR="00485197">
        <w:t>art. 6:2</w:t>
      </w:r>
      <w:r w:rsidR="005A0355">
        <w:t xml:space="preserve">34 BW </w:t>
      </w:r>
      <w:r w:rsidR="00AB6355">
        <w:t>meermaals gewijzigd. In 2009 werd er voor het eerst verwezen naar 6:230c BW in een apart</w:t>
      </w:r>
      <w:r w:rsidR="00E417D6">
        <w:t>e</w:t>
      </w:r>
      <w:r w:rsidR="00AB6355">
        <w:t xml:space="preserve"> </w:t>
      </w:r>
      <w:r w:rsidR="001A608E">
        <w:t>sub</w:t>
      </w:r>
      <w:r w:rsidR="00385A7D">
        <w:t xml:space="preserve"> d</w:t>
      </w:r>
      <w:r w:rsidR="00AB6355">
        <w:t xml:space="preserve">. </w:t>
      </w:r>
      <w:r w:rsidR="00517BF8">
        <w:t>Bij een latere wetswijziging in 2010 werd de verwijzing</w:t>
      </w:r>
      <w:r w:rsidR="00CA6354">
        <w:t xml:space="preserve"> naar art. 6:230c BW</w:t>
      </w:r>
      <w:r w:rsidR="005518B8">
        <w:t xml:space="preserve"> (per abuis)</w:t>
      </w:r>
      <w:r w:rsidR="00517BF8">
        <w:t xml:space="preserve"> weer verwijderd.</w:t>
      </w:r>
      <w:r w:rsidR="00F81986">
        <w:t xml:space="preserve"> </w:t>
      </w:r>
      <w:r w:rsidR="00545876">
        <w:t xml:space="preserve"> </w:t>
      </w:r>
      <w:r w:rsidR="00280423">
        <w:t xml:space="preserve">Op dat moment werd wetsvoorstel 31 </w:t>
      </w:r>
      <w:r w:rsidR="000F5730">
        <w:t>358</w:t>
      </w:r>
      <w:r w:rsidR="0023546A">
        <w:t xml:space="preserve"> (hierna: Het wetsvoorstel)</w:t>
      </w:r>
      <w:r w:rsidR="000F5730">
        <w:t xml:space="preserve"> wet. Dit was </w:t>
      </w:r>
      <w:r w:rsidR="00402738">
        <w:t>één</w:t>
      </w:r>
      <w:r w:rsidR="000F5730">
        <w:t xml:space="preserve"> jaar v</w:t>
      </w:r>
      <w:r w:rsidR="00402738">
        <w:t>óór</w:t>
      </w:r>
      <w:r w:rsidR="000F5730">
        <w:t xml:space="preserve"> wetsvoorstel 31</w:t>
      </w:r>
      <w:r w:rsidR="003A70B2">
        <w:t xml:space="preserve"> 859 </w:t>
      </w:r>
      <w:r w:rsidR="00C1221E">
        <w:t>dat</w:t>
      </w:r>
      <w:r w:rsidR="003A70B2">
        <w:t xml:space="preserve"> ziet op de implementatie van de </w:t>
      </w:r>
      <w:r w:rsidR="00132BAC">
        <w:t>D</w:t>
      </w:r>
      <w:r w:rsidR="003A70B2">
        <w:t>ienstenrichtlijn in art. 6:234 lid 1 BW.</w:t>
      </w:r>
      <w:r w:rsidR="003A70B2">
        <w:rPr>
          <w:rStyle w:val="Voetnootmarkering"/>
        </w:rPr>
        <w:footnoteReference w:id="21"/>
      </w:r>
      <w:r w:rsidR="003A70B2">
        <w:t xml:space="preserve"> </w:t>
      </w:r>
      <w:r w:rsidR="005A7940">
        <w:t xml:space="preserve">Het wetsvoorstel en de implementatie van de </w:t>
      </w:r>
      <w:r w:rsidR="00385A7D">
        <w:t>D</w:t>
      </w:r>
      <w:r w:rsidR="005A7940">
        <w:t>ienstenrichtl</w:t>
      </w:r>
      <w:r w:rsidR="0033525E">
        <w:t>ij</w:t>
      </w:r>
      <w:r w:rsidR="005A7940">
        <w:t xml:space="preserve">n hebben elkaar </w:t>
      </w:r>
      <w:r w:rsidR="007070DA">
        <w:t>gekruis</w:t>
      </w:r>
      <w:r w:rsidR="0023546A">
        <w:t>t</w:t>
      </w:r>
      <w:r w:rsidR="005854AD">
        <w:t xml:space="preserve"> met als gevolg het wegvallen van de verwijzing naar art. 6:230c BW.</w:t>
      </w:r>
      <w:r w:rsidR="00935BC3">
        <w:rPr>
          <w:rStyle w:val="Voetnootmarkering"/>
        </w:rPr>
        <w:footnoteReference w:id="22"/>
      </w:r>
      <w:r w:rsidR="005854AD">
        <w:t xml:space="preserve"> </w:t>
      </w:r>
      <w:r w:rsidR="00F81986">
        <w:t>Na veel kritiek in de literatuur</w:t>
      </w:r>
      <w:r w:rsidR="00F81986">
        <w:rPr>
          <w:rStyle w:val="Voetnootmarkering"/>
        </w:rPr>
        <w:footnoteReference w:id="23"/>
      </w:r>
      <w:r w:rsidR="00F81986">
        <w:t xml:space="preserve"> is de verwijzing</w:t>
      </w:r>
      <w:r w:rsidR="00A27FEF">
        <w:t xml:space="preserve"> naar art. 6:230c BW</w:t>
      </w:r>
      <w:r w:rsidR="00F81986">
        <w:t xml:space="preserve"> in 2012 weer teruggekomen</w:t>
      </w:r>
      <w:r w:rsidR="00EE54CE">
        <w:t xml:space="preserve"> </w:t>
      </w:r>
      <w:r w:rsidR="00B06E02">
        <w:t>in art. 6:234 lid 1 BW</w:t>
      </w:r>
      <w:r w:rsidR="00F81986">
        <w:t xml:space="preserve">. </w:t>
      </w:r>
      <w:r w:rsidR="00D97ACB">
        <w:t>De wijziging voorziet in een pl</w:t>
      </w:r>
      <w:r w:rsidR="00456634">
        <w:t>aatsing van een verwijzing naar de Dienstenrichtlijn in art. 6:234 lid 1 BW.</w:t>
      </w:r>
      <w:r w:rsidR="0036340B">
        <w:t xml:space="preserve"> Dit is hoe lid 1 van art. 6:234 BW</w:t>
      </w:r>
      <w:r w:rsidR="00556877">
        <w:t xml:space="preserve"> op dit moment is opgenomen in het huidige Burgerlijk Wetboek</w:t>
      </w:r>
      <w:r w:rsidR="0036340B">
        <w:t>.</w:t>
      </w:r>
      <w:r w:rsidR="005D7A74">
        <w:t xml:space="preserve"> </w:t>
      </w:r>
    </w:p>
    <w:p w14:paraId="3C4B01D5" w14:textId="3FD6BC40" w:rsidR="00EB68BE" w:rsidRDefault="005D7A74" w:rsidP="00196BD8">
      <w:pPr>
        <w:spacing w:line="276" w:lineRule="auto"/>
        <w:jc w:val="both"/>
      </w:pPr>
      <w:r>
        <w:t xml:space="preserve">Zoals eerder vermeld roept </w:t>
      </w:r>
      <w:r w:rsidR="00DE2A96">
        <w:t>de huidige verwijzing</w:t>
      </w:r>
      <w:r>
        <w:t xml:space="preserve"> de vraag op of deze verwijzing</w:t>
      </w:r>
      <w:r w:rsidR="00AA22D2">
        <w:t xml:space="preserve"> naar </w:t>
      </w:r>
      <w:r w:rsidR="00B74D6E">
        <w:t xml:space="preserve">art. 6:230c BW </w:t>
      </w:r>
      <w:r>
        <w:t>alleen geldt voor dienstverrichters of voor alle gebruikers van algemene voorwaarden.</w:t>
      </w:r>
      <w:r w:rsidR="00A2269D">
        <w:t xml:space="preserve"> </w:t>
      </w:r>
      <w:r w:rsidR="00DF1544">
        <w:t xml:space="preserve">De tekst lijkt de verstrekking van algemene voorwaarden volgens art. </w:t>
      </w:r>
      <w:r w:rsidR="00DF1544">
        <w:lastRenderedPageBreak/>
        <w:t>6:230c BW voor alle gebruikers mogelijk te maken.</w:t>
      </w:r>
      <w:r w:rsidR="00DF1544">
        <w:rPr>
          <w:rStyle w:val="Voetnootmarkering"/>
        </w:rPr>
        <w:footnoteReference w:id="24"/>
      </w:r>
      <w:r w:rsidR="00DF1544">
        <w:t xml:space="preserve"> Het is echter onduidelijk of dit ook de bedoeling is geweest van de wetgever. </w:t>
      </w:r>
      <w:r w:rsidR="00A677B0">
        <w:t xml:space="preserve">De memorie van toelichting </w:t>
      </w:r>
      <w:r w:rsidR="00131FA0">
        <w:t>op de wijziging in art. 6:234 lid 1 BW vermeldt het volgende:</w:t>
      </w:r>
    </w:p>
    <w:p w14:paraId="78B660AD" w14:textId="68B5D868" w:rsidR="00C11332" w:rsidRDefault="0051290F" w:rsidP="00196BD8">
      <w:pPr>
        <w:spacing w:line="276" w:lineRule="auto"/>
        <w:jc w:val="both"/>
        <w:rPr>
          <w:rFonts w:cs="Arial"/>
          <w:i/>
          <w:iCs/>
          <w:sz w:val="22"/>
          <w:szCs w:val="22"/>
          <w:shd w:val="clear" w:color="auto" w:fill="FFFFFF"/>
        </w:rPr>
      </w:pPr>
      <w:r w:rsidRPr="001324A1">
        <w:rPr>
          <w:rFonts w:cs="Arial"/>
          <w:i/>
          <w:iCs/>
          <w:sz w:val="22"/>
          <w:szCs w:val="22"/>
          <w:shd w:val="clear" w:color="auto" w:fill="FFFFFF"/>
        </w:rPr>
        <w:t>‘</w:t>
      </w:r>
      <w:r w:rsidR="00C11332" w:rsidRPr="001324A1">
        <w:rPr>
          <w:rFonts w:cs="Arial"/>
          <w:i/>
          <w:iCs/>
          <w:sz w:val="22"/>
          <w:szCs w:val="22"/>
          <w:shd w:val="clear" w:color="auto" w:fill="FFFFFF"/>
        </w:rPr>
        <w:t>Bij de behandeling van het wetsvoorstel voor een Dienstenwet in de Eerste Kamer is gebleken dat de verhouding tussen enerzijds de artikelen 6:233 en 6:234 BW en anderzijds de nieuwe artikelen 6:230b en 6:230c BW tot onduidelijkheid kan leiden (Kamerstukken I 2008/09,</w:t>
      </w:r>
      <w:r w:rsidR="00C11332" w:rsidRPr="001324A1">
        <w:rPr>
          <w:rStyle w:val="apple-converted-space"/>
          <w:rFonts w:cs="Arial"/>
          <w:i/>
          <w:iCs/>
          <w:sz w:val="22"/>
          <w:szCs w:val="22"/>
          <w:shd w:val="clear" w:color="auto" w:fill="FFFFFF"/>
        </w:rPr>
        <w:t> </w:t>
      </w:r>
      <w:hyperlink r:id="rId9" w:tooltip="link naar publicatie kst-31579-C" w:history="1">
        <w:r w:rsidR="00C11332" w:rsidRPr="001324A1">
          <w:rPr>
            <w:rStyle w:val="Hyperlink"/>
            <w:rFonts w:cs="Arial"/>
            <w:i/>
            <w:iCs/>
            <w:color w:val="auto"/>
            <w:sz w:val="22"/>
            <w:szCs w:val="22"/>
          </w:rPr>
          <w:t>31 579, nr. C</w:t>
        </w:r>
      </w:hyperlink>
      <w:r w:rsidR="00C11332" w:rsidRPr="001324A1">
        <w:rPr>
          <w:rFonts w:cs="Arial"/>
          <w:i/>
          <w:iCs/>
          <w:sz w:val="22"/>
          <w:szCs w:val="22"/>
          <w:shd w:val="clear" w:color="auto" w:fill="FFFFFF"/>
        </w:rPr>
        <w:t xml:space="preserve">, p. 18/19). </w:t>
      </w:r>
      <w:r w:rsidR="00AD67AF">
        <w:rPr>
          <w:rFonts w:cs="Arial"/>
          <w:i/>
          <w:iCs/>
          <w:sz w:val="22"/>
          <w:szCs w:val="22"/>
          <w:shd w:val="clear" w:color="auto" w:fill="FFFFFF"/>
        </w:rPr>
        <w:t xml:space="preserve">[…] </w:t>
      </w:r>
      <w:r w:rsidR="00C11332" w:rsidRPr="001324A1">
        <w:rPr>
          <w:rFonts w:cs="Arial"/>
          <w:i/>
          <w:iCs/>
          <w:sz w:val="22"/>
          <w:szCs w:val="22"/>
          <w:shd w:val="clear" w:color="auto" w:fill="FFFFFF"/>
        </w:rPr>
        <w:t>Om dit te vermijden wordt voorgesteld artikel 6:234, eerste lid, BW aldus te wijzigen dat de handelaar ook aan zijn informatieverplichting, als bedoeld in artikel 6:234 BW, kan voldoen op de in artikel 6:230c BW voorziene wijze.</w:t>
      </w:r>
      <w:r w:rsidRPr="001324A1">
        <w:rPr>
          <w:rFonts w:cs="Arial"/>
          <w:i/>
          <w:iCs/>
          <w:sz w:val="22"/>
          <w:szCs w:val="22"/>
          <w:shd w:val="clear" w:color="auto" w:fill="FFFFFF"/>
        </w:rPr>
        <w:t>’</w:t>
      </w:r>
      <w:r w:rsidRPr="001324A1">
        <w:rPr>
          <w:rStyle w:val="Voetnootmarkering"/>
          <w:rFonts w:cs="Arial"/>
          <w:i/>
          <w:iCs/>
          <w:sz w:val="22"/>
          <w:szCs w:val="22"/>
          <w:shd w:val="clear" w:color="auto" w:fill="FFFFFF"/>
        </w:rPr>
        <w:footnoteReference w:id="25"/>
      </w:r>
    </w:p>
    <w:p w14:paraId="7D9F961F" w14:textId="320DC70A" w:rsidR="008052D1" w:rsidRDefault="002774DB" w:rsidP="00196BD8">
      <w:pPr>
        <w:spacing w:line="276" w:lineRule="auto"/>
        <w:jc w:val="both"/>
        <w:rPr>
          <w:rFonts w:cs="Arial"/>
          <w:shd w:val="clear" w:color="auto" w:fill="FFFFFF"/>
        </w:rPr>
      </w:pPr>
      <w:r>
        <w:rPr>
          <w:rFonts w:cs="Arial"/>
          <w:shd w:val="clear" w:color="auto" w:fill="FFFFFF"/>
        </w:rPr>
        <w:t xml:space="preserve">Voor een ruime uitleg van lid 1 pleit de woordkeuze in het artikel en bovenstaande Memorie van </w:t>
      </w:r>
      <w:r w:rsidR="00823844">
        <w:rPr>
          <w:rFonts w:cs="Arial"/>
          <w:shd w:val="clear" w:color="auto" w:fill="FFFFFF"/>
        </w:rPr>
        <w:t>t</w:t>
      </w:r>
      <w:r>
        <w:rPr>
          <w:rFonts w:cs="Arial"/>
          <w:shd w:val="clear" w:color="auto" w:fill="FFFFFF"/>
        </w:rPr>
        <w:t xml:space="preserve">oelichting. In de </w:t>
      </w:r>
      <w:r w:rsidR="00823844">
        <w:rPr>
          <w:rFonts w:cs="Arial"/>
          <w:shd w:val="clear" w:color="auto" w:fill="FFFFFF"/>
        </w:rPr>
        <w:t>M</w:t>
      </w:r>
      <w:r>
        <w:rPr>
          <w:rFonts w:cs="Arial"/>
          <w:shd w:val="clear" w:color="auto" w:fill="FFFFFF"/>
        </w:rPr>
        <w:t>emorie van toelichting wordt</w:t>
      </w:r>
      <w:r w:rsidR="005A3314">
        <w:rPr>
          <w:rFonts w:cs="Arial"/>
          <w:shd w:val="clear" w:color="auto" w:fill="FFFFFF"/>
        </w:rPr>
        <w:t xml:space="preserve"> in de laatste volzin verwezen naar de handelaar en niet naar de dienstverrichter. Ook wordt nergens in lid 1 gespecificeerd dat de informatieverplichtingen van art. 6:230c BW slechts gelden voor dienstverrichters. </w:t>
      </w:r>
      <w:r w:rsidR="002D72ED">
        <w:rPr>
          <w:rFonts w:cs="Arial"/>
          <w:shd w:val="clear" w:color="auto" w:fill="FFFFFF"/>
        </w:rPr>
        <w:t>D</w:t>
      </w:r>
      <w:r w:rsidR="00786E93">
        <w:rPr>
          <w:rFonts w:cs="Arial"/>
          <w:shd w:val="clear" w:color="auto" w:fill="FFFFFF"/>
        </w:rPr>
        <w:t>e</w:t>
      </w:r>
      <w:r w:rsidR="00225DBE">
        <w:rPr>
          <w:rFonts w:cs="Arial"/>
          <w:shd w:val="clear" w:color="auto" w:fill="FFFFFF"/>
        </w:rPr>
        <w:t xml:space="preserve"> ruime uitleg </w:t>
      </w:r>
      <w:r w:rsidR="00786E93">
        <w:rPr>
          <w:rFonts w:cs="Arial"/>
          <w:shd w:val="clear" w:color="auto" w:fill="FFFFFF"/>
        </w:rPr>
        <w:t xml:space="preserve">van lid 1 </w:t>
      </w:r>
      <w:r w:rsidR="002D72ED">
        <w:rPr>
          <w:rFonts w:cs="Arial"/>
          <w:shd w:val="clear" w:color="auto" w:fill="FFFFFF"/>
        </w:rPr>
        <w:t xml:space="preserve">pleit </w:t>
      </w:r>
      <w:r w:rsidR="00225DBE">
        <w:rPr>
          <w:rFonts w:cs="Arial"/>
          <w:shd w:val="clear" w:color="auto" w:fill="FFFFFF"/>
        </w:rPr>
        <w:t xml:space="preserve">er ook nog voor dat het in dat </w:t>
      </w:r>
      <w:r w:rsidR="00580BA2">
        <w:rPr>
          <w:rFonts w:cs="Arial"/>
          <w:shd w:val="clear" w:color="auto" w:fill="FFFFFF"/>
        </w:rPr>
        <w:t>geval</w:t>
      </w:r>
      <w:r w:rsidR="00225DBE">
        <w:rPr>
          <w:rFonts w:cs="Arial"/>
          <w:shd w:val="clear" w:color="auto" w:fill="FFFFFF"/>
        </w:rPr>
        <w:t xml:space="preserve"> niet nodig is om een ietwat willekeurig onderscheid te maken tussen dienstverrichters en niet-dienstverrichters.</w:t>
      </w:r>
      <w:r w:rsidR="00580BA2">
        <w:rPr>
          <w:rStyle w:val="Voetnootmarkering"/>
          <w:rFonts w:cs="Arial"/>
          <w:shd w:val="clear" w:color="auto" w:fill="FFFFFF"/>
        </w:rPr>
        <w:footnoteReference w:id="26"/>
      </w:r>
      <w:r w:rsidR="00292843">
        <w:rPr>
          <w:rFonts w:cs="Arial"/>
          <w:shd w:val="clear" w:color="auto" w:fill="FFFFFF"/>
        </w:rPr>
        <w:t xml:space="preserve"> </w:t>
      </w:r>
    </w:p>
    <w:p w14:paraId="7FE882D0" w14:textId="02091FD6" w:rsidR="006E52CD" w:rsidRDefault="00292843" w:rsidP="00196BD8">
      <w:pPr>
        <w:spacing w:line="276" w:lineRule="auto"/>
        <w:jc w:val="both"/>
        <w:rPr>
          <w:rFonts w:cs="Arial"/>
          <w:shd w:val="clear" w:color="auto" w:fill="FFFFFF"/>
        </w:rPr>
      </w:pPr>
      <w:r>
        <w:rPr>
          <w:rFonts w:cs="Arial"/>
          <w:shd w:val="clear" w:color="auto" w:fill="FFFFFF"/>
        </w:rPr>
        <w:t xml:space="preserve">De restrictieve uitleg lijkt echter de heersende leer te zijn in de </w:t>
      </w:r>
      <w:r w:rsidR="002644C2">
        <w:rPr>
          <w:rFonts w:cs="Arial"/>
          <w:shd w:val="clear" w:color="auto" w:fill="FFFFFF"/>
        </w:rPr>
        <w:t>literatuur</w:t>
      </w:r>
      <w:r>
        <w:rPr>
          <w:rFonts w:cs="Arial"/>
          <w:shd w:val="clear" w:color="auto" w:fill="FFFFFF"/>
        </w:rPr>
        <w:t xml:space="preserve">. Deze uitleg </w:t>
      </w:r>
      <w:r w:rsidR="00023463">
        <w:rPr>
          <w:rFonts w:cs="Arial"/>
          <w:shd w:val="clear" w:color="auto" w:fill="FFFFFF"/>
        </w:rPr>
        <w:t xml:space="preserve">pleit ervoor dat art. 6:230c BW alleen van toepassing is op de gevallen genoemd in art. 6:230b BW. </w:t>
      </w:r>
      <w:r w:rsidR="00C14D18">
        <w:rPr>
          <w:rFonts w:cs="Arial"/>
          <w:shd w:val="clear" w:color="auto" w:fill="FFFFFF"/>
        </w:rPr>
        <w:t xml:space="preserve">Aan de hand van de wettekst kan tot deze conclusie worden gekomen; art. 6:234 lid 1 BW stelt dat </w:t>
      </w:r>
      <w:r w:rsidR="007D7D96">
        <w:rPr>
          <w:rFonts w:cs="Arial"/>
          <w:shd w:val="clear" w:color="auto" w:fill="FFFFFF"/>
        </w:rPr>
        <w:t xml:space="preserve">voorwaarden ‘overeenkomstig de in art. 6:230c BW voorziene wijze’ kunnen worden verstrekt. Art. 6:230c BW </w:t>
      </w:r>
      <w:r w:rsidR="00A657F0">
        <w:rPr>
          <w:rFonts w:cs="Arial"/>
          <w:shd w:val="clear" w:color="auto" w:fill="FFFFFF"/>
        </w:rPr>
        <w:t>geeft vervolgens aan dat dit alleen geldt voor de gevallen genoemd in ar</w:t>
      </w:r>
      <w:r w:rsidR="00726282">
        <w:rPr>
          <w:rFonts w:cs="Arial"/>
          <w:shd w:val="clear" w:color="auto" w:fill="FFFFFF"/>
        </w:rPr>
        <w:t xml:space="preserve">t. </w:t>
      </w:r>
      <w:r w:rsidR="00A657F0">
        <w:rPr>
          <w:rFonts w:cs="Arial"/>
          <w:shd w:val="clear" w:color="auto" w:fill="FFFFFF"/>
        </w:rPr>
        <w:t>6:230b BW.</w:t>
      </w:r>
      <w:r w:rsidR="000F4615">
        <w:rPr>
          <w:rFonts w:cs="Arial"/>
          <w:shd w:val="clear" w:color="auto" w:fill="FFFFFF"/>
        </w:rPr>
        <w:t xml:space="preserve"> A</w:t>
      </w:r>
      <w:r w:rsidR="00EE54AE">
        <w:rPr>
          <w:rFonts w:cs="Arial"/>
          <w:shd w:val="clear" w:color="auto" w:fill="FFFFFF"/>
        </w:rPr>
        <w:t xml:space="preserve">rt. 6:230b BW verwijst </w:t>
      </w:r>
      <w:r w:rsidR="006475F2">
        <w:rPr>
          <w:rFonts w:cs="Arial"/>
          <w:shd w:val="clear" w:color="auto" w:fill="FFFFFF"/>
        </w:rPr>
        <w:t>vervolgens</w:t>
      </w:r>
      <w:r w:rsidR="00EE54AE">
        <w:rPr>
          <w:rFonts w:cs="Arial"/>
          <w:shd w:val="clear" w:color="auto" w:fill="FFFFFF"/>
        </w:rPr>
        <w:t xml:space="preserve"> weer naar de </w:t>
      </w:r>
      <w:r w:rsidR="000F4615">
        <w:rPr>
          <w:rFonts w:cs="Arial"/>
          <w:shd w:val="clear" w:color="auto" w:fill="FFFFFF"/>
        </w:rPr>
        <w:t>Di</w:t>
      </w:r>
      <w:r w:rsidR="00EE54AE">
        <w:rPr>
          <w:rFonts w:cs="Arial"/>
          <w:shd w:val="clear" w:color="auto" w:fill="FFFFFF"/>
        </w:rPr>
        <w:t>enstenrichtlijn, waar</w:t>
      </w:r>
      <w:r w:rsidR="00532BDE">
        <w:rPr>
          <w:rFonts w:cs="Arial"/>
          <w:shd w:val="clear" w:color="auto" w:fill="FFFFFF"/>
        </w:rPr>
        <w:t>in</w:t>
      </w:r>
      <w:r w:rsidR="00EE54AE">
        <w:rPr>
          <w:rFonts w:cs="Arial"/>
          <w:shd w:val="clear" w:color="auto" w:fill="FFFFFF"/>
        </w:rPr>
        <w:t xml:space="preserve"> te lezen valt welke diensten onder het soepele(re) regime van art. 6:230c BW vallen. </w:t>
      </w:r>
      <w:r w:rsidR="0070456B">
        <w:rPr>
          <w:rFonts w:cs="Arial"/>
          <w:shd w:val="clear" w:color="auto" w:fill="FFFFFF"/>
        </w:rPr>
        <w:t>Kortom: volgens de restrictieve uitleg geldt art. 6:230c BW alleen voor dienstverrichters.</w:t>
      </w:r>
      <w:r w:rsidR="0070456B">
        <w:rPr>
          <w:rStyle w:val="Voetnootmarkering"/>
          <w:rFonts w:cs="Arial"/>
          <w:shd w:val="clear" w:color="auto" w:fill="FFFFFF"/>
        </w:rPr>
        <w:footnoteReference w:id="27"/>
      </w:r>
      <w:r w:rsidR="0070456B">
        <w:rPr>
          <w:rFonts w:cs="Arial"/>
          <w:shd w:val="clear" w:color="auto" w:fill="FFFFFF"/>
        </w:rPr>
        <w:t xml:space="preserve"> </w:t>
      </w:r>
    </w:p>
    <w:p w14:paraId="73D55A3C" w14:textId="51A3FE54" w:rsidR="006D003F" w:rsidRDefault="003D60F1" w:rsidP="00196BD8">
      <w:pPr>
        <w:spacing w:line="276" w:lineRule="auto"/>
        <w:jc w:val="both"/>
      </w:pPr>
      <w:r>
        <w:rPr>
          <w:rFonts w:cs="Arial"/>
          <w:shd w:val="clear" w:color="auto" w:fill="FFFFFF"/>
        </w:rPr>
        <w:t xml:space="preserve">Ik sluit me in dit geval aan bij de restrictieve </w:t>
      </w:r>
      <w:r w:rsidR="00A1799D">
        <w:rPr>
          <w:rFonts w:cs="Arial"/>
          <w:shd w:val="clear" w:color="auto" w:fill="FFFFFF"/>
        </w:rPr>
        <w:t xml:space="preserve">uitleg. </w:t>
      </w:r>
      <w:r w:rsidR="00A2269D">
        <w:t xml:space="preserve">Op het moment dat deze verwijzing ook </w:t>
      </w:r>
      <w:r w:rsidR="00175AE2">
        <w:t>zou gelden</w:t>
      </w:r>
      <w:r w:rsidR="00A2269D">
        <w:t xml:space="preserve"> voor alle niet-dienstverleners zou dat betekenen dat </w:t>
      </w:r>
      <w:r w:rsidR="00175AE2">
        <w:t>é</w:t>
      </w:r>
      <w:r w:rsidR="00A2269D">
        <w:t xml:space="preserve">lke gebruiker de algemene voorwaarden aan de wederpartij ter hand kan stellen ex art. 6:230c BW. </w:t>
      </w:r>
      <w:r w:rsidR="009D0B29">
        <w:t>A</w:t>
      </w:r>
      <w:r w:rsidR="0002448F">
        <w:t xml:space="preserve">rt. 6:234 BW zal mijns inziens dan aanzienlijk minder of zelfs niet meer worden gebruikt door de gebruikers aangezien deze </w:t>
      </w:r>
      <w:r w:rsidR="009D0B29">
        <w:t>informatieplich</w:t>
      </w:r>
      <w:r w:rsidR="00A37796">
        <w:t>t</w:t>
      </w:r>
      <w:r w:rsidR="0002448F">
        <w:t xml:space="preserve"> </w:t>
      </w:r>
      <w:r w:rsidR="00A37796">
        <w:t>extra vereisten kent</w:t>
      </w:r>
      <w:r w:rsidR="00D22F14">
        <w:t>.</w:t>
      </w:r>
      <w:r w:rsidR="0079215D">
        <w:t xml:space="preserve"> Dit lijkt mij niet de bedoeling van de wetgever geweest te zijn.</w:t>
      </w:r>
      <w:r w:rsidR="00D22F14">
        <w:t xml:space="preserve"> </w:t>
      </w:r>
    </w:p>
    <w:p w14:paraId="498C856C" w14:textId="7653247A" w:rsidR="008E704C" w:rsidRDefault="00ED1836" w:rsidP="00196BD8">
      <w:pPr>
        <w:pStyle w:val="Kop2"/>
        <w:numPr>
          <w:ilvl w:val="1"/>
          <w:numId w:val="28"/>
        </w:numPr>
        <w:spacing w:line="276" w:lineRule="auto"/>
        <w:jc w:val="both"/>
        <w:rPr>
          <w:rFonts w:asciiTheme="minorHAnsi" w:hAnsiTheme="minorHAnsi"/>
        </w:rPr>
      </w:pPr>
      <w:bookmarkStart w:id="10" w:name="_Toc182382067"/>
      <w:bookmarkStart w:id="11" w:name="_Toc186375504"/>
      <w:r>
        <w:rPr>
          <w:rFonts w:asciiTheme="minorHAnsi" w:hAnsiTheme="minorHAnsi"/>
        </w:rPr>
        <w:lastRenderedPageBreak/>
        <w:t>Het gebruik van elektronische algemene voorwaarden</w:t>
      </w:r>
      <w:r w:rsidR="008E704C">
        <w:rPr>
          <w:rFonts w:asciiTheme="minorHAnsi" w:hAnsiTheme="minorHAnsi"/>
        </w:rPr>
        <w:t xml:space="preserve"> </w:t>
      </w:r>
      <w:r w:rsidR="001D0882">
        <w:rPr>
          <w:rFonts w:asciiTheme="minorHAnsi" w:hAnsiTheme="minorHAnsi"/>
        </w:rPr>
        <w:t>(lid 2 en 3)</w:t>
      </w:r>
      <w:bookmarkEnd w:id="10"/>
      <w:bookmarkEnd w:id="11"/>
    </w:p>
    <w:p w14:paraId="5186FD0B" w14:textId="4D56618C" w:rsidR="00337B63" w:rsidRPr="00337B63" w:rsidRDefault="00C11E5F" w:rsidP="00196BD8">
      <w:pPr>
        <w:spacing w:line="276" w:lineRule="auto"/>
        <w:jc w:val="both"/>
      </w:pPr>
      <w:r>
        <w:t>Ar</w:t>
      </w:r>
      <w:r w:rsidR="00876D78">
        <w:t>t</w:t>
      </w:r>
      <w:r w:rsidR="00980292">
        <w:t xml:space="preserve">. </w:t>
      </w:r>
      <w:r w:rsidR="00F05F12">
        <w:t>6:</w:t>
      </w:r>
      <w:r w:rsidR="00980292">
        <w:t xml:space="preserve">234 lid 2 BW </w:t>
      </w:r>
      <w:r w:rsidR="00876D78">
        <w:t>ziet op de</w:t>
      </w:r>
      <w:r w:rsidR="00F87D26">
        <w:t xml:space="preserve"> ter</w:t>
      </w:r>
      <w:r w:rsidR="00077E6B">
        <w:t>handstelling van elektronische algemene voorwaarden</w:t>
      </w:r>
      <w:r w:rsidR="00876D78">
        <w:t>. Dit artikel</w:t>
      </w:r>
      <w:r w:rsidR="00077E6B">
        <w:t xml:space="preserve"> is</w:t>
      </w:r>
      <w:r w:rsidR="00980292">
        <w:t xml:space="preserve"> ter implementatie van </w:t>
      </w:r>
      <w:r w:rsidR="00AD3654">
        <w:t>de Richtlijn</w:t>
      </w:r>
      <w:r w:rsidR="00546B33">
        <w:t xml:space="preserve"> inzake elektronische handel op 30 juni 2004 toegevoegd aan</w:t>
      </w:r>
      <w:r w:rsidR="00F87D26">
        <w:t xml:space="preserve"> </w:t>
      </w:r>
      <w:r w:rsidR="00077E6B">
        <w:t xml:space="preserve">het </w:t>
      </w:r>
      <w:r w:rsidR="00A009F5">
        <w:t>B</w:t>
      </w:r>
      <w:r w:rsidR="00077E6B">
        <w:t xml:space="preserve">urgerlijk </w:t>
      </w:r>
      <w:r w:rsidR="00A009F5">
        <w:t>W</w:t>
      </w:r>
      <w:r w:rsidR="00077E6B">
        <w:t>etboek.</w:t>
      </w:r>
      <w:r w:rsidR="004530D6">
        <w:t xml:space="preserve"> Het wordt door de wetgever formeel geplaatst naast de terhandstelling van art. 6:234 lid 1 BW.</w:t>
      </w:r>
      <w:r w:rsidR="00AD3654">
        <w:rPr>
          <w:rStyle w:val="Voetnootmarkering"/>
        </w:rPr>
        <w:footnoteReference w:id="28"/>
      </w:r>
      <w:r w:rsidR="00A52A04">
        <w:t xml:space="preserve"> </w:t>
      </w:r>
      <w:r w:rsidR="00A009F5">
        <w:t xml:space="preserve"> </w:t>
      </w:r>
      <w:r w:rsidR="002C4AB9">
        <w:t>Deze richtlijn heeft betrekking op “alle diensten die normaal, tegen vergoeding</w:t>
      </w:r>
      <w:r w:rsidR="002C30B1">
        <w:t xml:space="preserve">, op afstand, via elektronische apparatuur voor de verwerking en opslag van gegevens, op individueel verzoek </w:t>
      </w:r>
      <w:r w:rsidR="00283F58">
        <w:t>van een afnemer van diensten verricht worden.”</w:t>
      </w:r>
      <w:r w:rsidR="00BF4B39">
        <w:rPr>
          <w:rStyle w:val="Voetnootmarkering"/>
        </w:rPr>
        <w:footnoteReference w:id="29"/>
      </w:r>
      <w:r w:rsidR="00135597">
        <w:t xml:space="preserve"> </w:t>
      </w:r>
      <w:r w:rsidR="00DB12DF">
        <w:t xml:space="preserve">In deze deelvraag </w:t>
      </w:r>
      <w:r w:rsidR="009F558A">
        <w:t>zullen de</w:t>
      </w:r>
      <w:r w:rsidR="00DB12DF">
        <w:t xml:space="preserve"> </w:t>
      </w:r>
      <w:r w:rsidR="009F558A">
        <w:t>vereisten</w:t>
      </w:r>
      <w:r w:rsidR="0091664B">
        <w:t xml:space="preserve"> </w:t>
      </w:r>
      <w:r w:rsidR="009F558A">
        <w:t xml:space="preserve">van het </w:t>
      </w:r>
      <w:r w:rsidR="0091664B">
        <w:t xml:space="preserve">gebruik van algemene voorwaarden langs elektronische weg worden besproken. </w:t>
      </w:r>
    </w:p>
    <w:p w14:paraId="038E78BB" w14:textId="002932A0" w:rsidR="0035747F" w:rsidRPr="002C5A02" w:rsidRDefault="0035747F" w:rsidP="00196BD8">
      <w:pPr>
        <w:pStyle w:val="Lijstalinea"/>
        <w:numPr>
          <w:ilvl w:val="2"/>
          <w:numId w:val="28"/>
        </w:numPr>
        <w:spacing w:line="276" w:lineRule="auto"/>
        <w:jc w:val="both"/>
        <w:rPr>
          <w:b/>
          <w:bCs/>
        </w:rPr>
      </w:pPr>
      <w:r w:rsidRPr="002C5A02">
        <w:rPr>
          <w:b/>
          <w:bCs/>
        </w:rPr>
        <w:t xml:space="preserve">Beschikbaar stellen </w:t>
      </w:r>
      <w:r w:rsidR="002C5A02">
        <w:rPr>
          <w:b/>
          <w:bCs/>
        </w:rPr>
        <w:t>van de algemene voorwaarden</w:t>
      </w:r>
    </w:p>
    <w:p w14:paraId="2C099C49" w14:textId="492B80C9" w:rsidR="00457693" w:rsidRDefault="007E381D" w:rsidP="00196BD8">
      <w:pPr>
        <w:spacing w:line="276" w:lineRule="auto"/>
        <w:jc w:val="both"/>
      </w:pPr>
      <w:r>
        <w:t>Met ‘</w:t>
      </w:r>
      <w:r w:rsidR="00A4336A">
        <w:t>langs elektronische weg</w:t>
      </w:r>
      <w:r w:rsidR="0099703A">
        <w:t>’ wordt</w:t>
      </w:r>
      <w:r w:rsidR="00A4336A">
        <w:t xml:space="preserve"> bedoeld dat geen persoonlijk contact </w:t>
      </w:r>
      <w:r w:rsidR="005424F6">
        <w:t>bestaat</w:t>
      </w:r>
      <w:r w:rsidR="00BE0888">
        <w:t xml:space="preserve"> tussen partijen bij de totstandkoming van de overeenkomst of </w:t>
      </w:r>
      <w:r w:rsidR="00526174">
        <w:t xml:space="preserve">bij </w:t>
      </w:r>
      <w:r w:rsidR="00BE0888">
        <w:t>de terbeschikkingstelling van de algemene voorwa</w:t>
      </w:r>
      <w:r w:rsidR="0099703A">
        <w:t>arde</w:t>
      </w:r>
      <w:r w:rsidR="00BE0888">
        <w:t>n.</w:t>
      </w:r>
      <w:r w:rsidR="0099703A">
        <w:rPr>
          <w:rStyle w:val="Voetnootmarkering"/>
        </w:rPr>
        <w:footnoteReference w:id="30"/>
      </w:r>
      <w:r w:rsidR="0099703A">
        <w:t xml:space="preserve"> </w:t>
      </w:r>
      <w:r w:rsidR="0036452C">
        <w:t xml:space="preserve"> </w:t>
      </w:r>
      <w:r w:rsidR="001F36A7">
        <w:t xml:space="preserve">Wanneer een overeenkomst elektronisch tot stand komt is het toegestaan om de algemene voorwaarden elektronisch ter </w:t>
      </w:r>
      <w:r w:rsidR="00D34A58">
        <w:t>beschikking</w:t>
      </w:r>
      <w:r w:rsidR="001F36A7">
        <w:t xml:space="preserve"> te stellen. </w:t>
      </w:r>
      <w:r w:rsidR="00D34A58">
        <w:t xml:space="preserve"> Voorts is dit mogelijk </w:t>
      </w:r>
      <w:r w:rsidR="00C85C00">
        <w:t>indien het gaat om een niet-elektronische overeenkomt en de wederpartij uitdrukkelijk toestemming heeft gegeven voor het gebruik van elektronische</w:t>
      </w:r>
      <w:r w:rsidR="003E6E3F">
        <w:t xml:space="preserve"> algemene voorwaarden</w:t>
      </w:r>
      <w:r w:rsidR="00B33FE9">
        <w:t xml:space="preserve"> (art. 6:234 lid 3 BW)</w:t>
      </w:r>
      <w:r w:rsidR="003E6E3F">
        <w:t>.</w:t>
      </w:r>
      <w:r w:rsidR="0010657E">
        <w:t xml:space="preserve"> </w:t>
      </w:r>
      <w:r w:rsidR="008E325A">
        <w:t xml:space="preserve">Denk hierbij aan de situatie dat iemand een auto koopt </w:t>
      </w:r>
      <w:r w:rsidR="005424F6">
        <w:t xml:space="preserve">op locatie </w:t>
      </w:r>
      <w:r w:rsidR="008E325A">
        <w:t xml:space="preserve">en de algemene voorwaarden vervolgens in de mailbox </w:t>
      </w:r>
      <w:r w:rsidR="0044105F">
        <w:t>ontvangt</w:t>
      </w:r>
      <w:r w:rsidR="008E325A">
        <w:t xml:space="preserve">. </w:t>
      </w:r>
    </w:p>
    <w:p w14:paraId="08380EF6" w14:textId="36BA3BA7" w:rsidR="0059794D" w:rsidRDefault="002207BF" w:rsidP="00196BD8">
      <w:pPr>
        <w:spacing w:line="276" w:lineRule="auto"/>
        <w:jc w:val="both"/>
      </w:pPr>
      <w:r w:rsidRPr="00FE608C">
        <w:t xml:space="preserve">In het arrest </w:t>
      </w:r>
      <w:r w:rsidRPr="00610468">
        <w:rPr>
          <w:i/>
          <w:iCs/>
        </w:rPr>
        <w:t>First Data/Attingo</w:t>
      </w:r>
      <w:r w:rsidR="00FE608C" w:rsidRPr="00FE608C">
        <w:t xml:space="preserve"> geeft de Hoge Raad een richtlijn voor het ter beschikking stellen van </w:t>
      </w:r>
      <w:r w:rsidR="00FE608C">
        <w:t xml:space="preserve">online algemene voorwaarden. In deze zaak stelt </w:t>
      </w:r>
      <w:r w:rsidR="00457693">
        <w:t xml:space="preserve">First Data dat Attingo krachtens de toepasselijke algemene voorwaarden gehouden is buitenrechtelijke kosten te betalen. Attingo verweert zich door te stellen dat de algemene voorwaarden haar nooit ter hand zijn gesteld. First Data wijst erop dat de algemene voorwaarden te vinden zijn door middel van een zoekopdracht op het internet. De Hoge Raad oordeelt dat niet aan art. 6:233 sub b BW </w:t>
      </w:r>
      <w:r w:rsidR="00435B0D">
        <w:t>in verbinding met</w:t>
      </w:r>
      <w:r w:rsidR="00457693">
        <w:t xml:space="preserve"> art. 6:234 BW is voldaan indien de desbetreffende voorwaarden gevonden kunnen worden op het internet door een zoekopdracht. </w:t>
      </w:r>
      <w:r w:rsidR="0042553D">
        <w:t>De wederpartij moet</w:t>
      </w:r>
      <w:r w:rsidR="005A454D">
        <w:t xml:space="preserve"> volgens de Hoge Raad in het arrest </w:t>
      </w:r>
      <w:r w:rsidR="00B349C7">
        <w:t>First Data</w:t>
      </w:r>
      <w:r w:rsidR="005A454D">
        <w:t>/Attingo</w:t>
      </w:r>
      <w:r w:rsidR="0042553D">
        <w:t xml:space="preserve"> op een eenvoudige en </w:t>
      </w:r>
      <w:r w:rsidR="00F546C4">
        <w:t>doeltreffende</w:t>
      </w:r>
      <w:r w:rsidR="0042553D">
        <w:t xml:space="preserve"> manier kennis kunnen nemen van de algemene voorwaarden</w:t>
      </w:r>
      <w:r w:rsidR="00055E4E">
        <w:t xml:space="preserve"> zodat duidelijk is </w:t>
      </w:r>
      <w:r w:rsidR="00457693">
        <w:t>welke voorwaarden op de rechtsverhouding van toepassing zijn</w:t>
      </w:r>
      <w:r w:rsidR="0042553D">
        <w:t>.</w:t>
      </w:r>
      <w:r w:rsidR="005A454D">
        <w:t xml:space="preserve"> </w:t>
      </w:r>
      <w:r w:rsidR="00457693">
        <w:t xml:space="preserve">Een zoekopdracht via internet is </w:t>
      </w:r>
      <w:r w:rsidR="002E2013">
        <w:t>hiervoor</w:t>
      </w:r>
      <w:r w:rsidR="00457693">
        <w:t xml:space="preserve"> onvoldoende. </w:t>
      </w:r>
    </w:p>
    <w:p w14:paraId="30C1370E" w14:textId="7AFF9CFE" w:rsidR="008647CE" w:rsidRDefault="00B110C9" w:rsidP="00196BD8">
      <w:pPr>
        <w:spacing w:line="276" w:lineRule="auto"/>
        <w:jc w:val="both"/>
      </w:pPr>
      <w:r>
        <w:t>Het</w:t>
      </w:r>
      <w:r w:rsidR="008647CE">
        <w:t xml:space="preserve"> minimumvereiste </w:t>
      </w:r>
      <w:r w:rsidR="00FC5B84">
        <w:t>voor het elektronisch beschikbaar stellen van algemene voorwaarden</w:t>
      </w:r>
      <w:r>
        <w:t xml:space="preserve"> is</w:t>
      </w:r>
      <w:r w:rsidR="008647CE">
        <w:t xml:space="preserve"> </w:t>
      </w:r>
      <w:r w:rsidR="00A646A0">
        <w:t>het gebruik van een hyperlink</w:t>
      </w:r>
      <w:r w:rsidR="008647CE">
        <w:t>.</w:t>
      </w:r>
      <w:r w:rsidR="00FC5B84">
        <w:rPr>
          <w:rStyle w:val="Voetnootmarkering"/>
        </w:rPr>
        <w:footnoteReference w:id="31"/>
      </w:r>
      <w:r w:rsidR="00691708">
        <w:t xml:space="preserve"> </w:t>
      </w:r>
      <w:r w:rsidR="008647CE">
        <w:t xml:space="preserve"> </w:t>
      </w:r>
      <w:r w:rsidR="00F9117F">
        <w:t xml:space="preserve">De hyperlink moet voldoende opvallend zijn om de aandacht van de wederpartij te trekken en het moet duidelijk zijn dat de </w:t>
      </w:r>
      <w:r w:rsidR="00F9117F">
        <w:lastRenderedPageBreak/>
        <w:t>hyperlink toegang verleent tot de algemene voorwaarden.</w:t>
      </w:r>
      <w:r w:rsidR="00F9117F">
        <w:rPr>
          <w:rStyle w:val="Voetnootmarkering"/>
        </w:rPr>
        <w:footnoteReference w:id="32"/>
      </w:r>
      <w:r w:rsidR="002C7236">
        <w:t xml:space="preserve"> </w:t>
      </w:r>
      <w:r w:rsidR="00A701BA">
        <w:t xml:space="preserve"> Mijns inziens is het niet voldoende </w:t>
      </w:r>
      <w:r w:rsidR="00760510">
        <w:t xml:space="preserve">dat aan de informatieplicht wordt voldaan door een verwijzing naar de </w:t>
      </w:r>
      <w:r w:rsidR="00FF3267">
        <w:t xml:space="preserve">vindplaats van de </w:t>
      </w:r>
      <w:r w:rsidR="00760510">
        <w:t xml:space="preserve">algemene voorwaarden op </w:t>
      </w:r>
      <w:r w:rsidR="00FF3267">
        <w:t>een</w:t>
      </w:r>
      <w:r w:rsidR="00760510">
        <w:t xml:space="preserve"> website</w:t>
      </w:r>
      <w:r w:rsidR="007A6D2D">
        <w:t xml:space="preserve">. Ook al is het webadres duidelijk aangegeven, dan nog zal de wederpartij zelf </w:t>
      </w:r>
      <w:r w:rsidR="00BB18B2">
        <w:t>initiatief</w:t>
      </w:r>
      <w:r w:rsidR="007A6D2D">
        <w:t xml:space="preserve"> </w:t>
      </w:r>
      <w:r w:rsidR="005B0A71">
        <w:t>dienen te nemen</w:t>
      </w:r>
      <w:r w:rsidR="007A6D2D">
        <w:t xml:space="preserve"> </w:t>
      </w:r>
      <w:r w:rsidR="005B0A71">
        <w:t xml:space="preserve">om de algemene voorwaarden </w:t>
      </w:r>
      <w:r w:rsidR="00975A36">
        <w:t>in haar bezit te krijgen. Dit i</w:t>
      </w:r>
      <w:r w:rsidR="00107D91">
        <w:t xml:space="preserve">s </w:t>
      </w:r>
      <w:r w:rsidR="00975A36">
        <w:t xml:space="preserve">strijdig met het </w:t>
      </w:r>
      <w:r w:rsidR="00D30170">
        <w:t xml:space="preserve">idee van de wettelijke regeling dat de gebruiker het </w:t>
      </w:r>
      <w:r w:rsidR="00517A3D">
        <w:t>initiatief</w:t>
      </w:r>
      <w:r w:rsidR="00D30170">
        <w:t xml:space="preserve"> dient te nemen om de algemene voorwaarden te verstrekken.</w:t>
      </w:r>
      <w:r w:rsidR="00517A3D">
        <w:rPr>
          <w:rStyle w:val="Voetnootmarkering"/>
        </w:rPr>
        <w:footnoteReference w:id="33"/>
      </w:r>
    </w:p>
    <w:p w14:paraId="77F512AA" w14:textId="1887B1C9" w:rsidR="0035747F" w:rsidRPr="00540A3B" w:rsidRDefault="001C51DB" w:rsidP="00196BD8">
      <w:pPr>
        <w:pStyle w:val="Lijstalinea"/>
        <w:numPr>
          <w:ilvl w:val="2"/>
          <w:numId w:val="28"/>
        </w:numPr>
        <w:spacing w:line="276" w:lineRule="auto"/>
        <w:jc w:val="both"/>
        <w:rPr>
          <w:b/>
          <w:bCs/>
        </w:rPr>
      </w:pPr>
      <w:r>
        <w:rPr>
          <w:b/>
          <w:bCs/>
        </w:rPr>
        <w:t>Het o</w:t>
      </w:r>
      <w:r w:rsidR="0035747F" w:rsidRPr="00540A3B">
        <w:rPr>
          <w:b/>
          <w:bCs/>
        </w:rPr>
        <w:t>pslagvereiste</w:t>
      </w:r>
    </w:p>
    <w:p w14:paraId="7147EFEB" w14:textId="05BC2D2D" w:rsidR="001959D7" w:rsidRDefault="00D7120C" w:rsidP="00196BD8">
      <w:pPr>
        <w:spacing w:line="276" w:lineRule="auto"/>
        <w:jc w:val="both"/>
      </w:pPr>
      <w:r>
        <w:t>De</w:t>
      </w:r>
      <w:r w:rsidR="00AE3ABB" w:rsidRPr="00AE3ABB">
        <w:t xml:space="preserve"> </w:t>
      </w:r>
      <w:r w:rsidR="00857B65">
        <w:t xml:space="preserve">online </w:t>
      </w:r>
      <w:r w:rsidR="00AE3ABB" w:rsidRPr="00AE3ABB">
        <w:t>algemene voorwaarden</w:t>
      </w:r>
      <w:r>
        <w:t xml:space="preserve"> moeten</w:t>
      </w:r>
      <w:r w:rsidR="00AE3ABB" w:rsidRPr="00AE3ABB">
        <w:t xml:space="preserve"> door de wederpartij opgeslagen kunnen worden</w:t>
      </w:r>
      <w:r w:rsidR="001D73BA">
        <w:t xml:space="preserve"> </w:t>
      </w:r>
      <w:r w:rsidR="00175E18">
        <w:t>ex</w:t>
      </w:r>
      <w:r w:rsidR="001D73BA">
        <w:t xml:space="preserve"> art. 6:234 lid 2 BW. </w:t>
      </w:r>
      <w:r w:rsidR="005E61E0">
        <w:t>Het</w:t>
      </w:r>
      <w:r w:rsidR="002C5E34">
        <w:t xml:space="preserve"> is de bedoeling dat de gebruiker het opslaan van de algemene voorwaarden faciliteert door een </w:t>
      </w:r>
      <w:r w:rsidR="003F1AC4">
        <w:t>downloadvriendelijke versie van de algemene voorwaarden beschikbaar te stellen.</w:t>
      </w:r>
      <w:r w:rsidR="003F1AC4">
        <w:rPr>
          <w:rStyle w:val="Voetnootmarkering"/>
        </w:rPr>
        <w:footnoteReference w:id="34"/>
      </w:r>
      <w:r w:rsidR="00CD0D99">
        <w:t xml:space="preserve"> Wanneer slechts de mogelijkheid is geboden om de algemene voorwaarden te printen is niet voldaan aan het </w:t>
      </w:r>
      <w:r w:rsidR="00C1114A">
        <w:t>terbeschikkingstellingsvereiste ex art. 6:234 lid 2 BW</w:t>
      </w:r>
      <w:r w:rsidR="00CD0D99">
        <w:t>.</w:t>
      </w:r>
      <w:r w:rsidR="00C1114A">
        <w:rPr>
          <w:rStyle w:val="Voetnootmarkering"/>
        </w:rPr>
        <w:footnoteReference w:id="35"/>
      </w:r>
      <w:r w:rsidR="00C1114A">
        <w:t xml:space="preserve"> </w:t>
      </w:r>
      <w:r w:rsidR="00563D45">
        <w:t xml:space="preserve"> </w:t>
      </w:r>
      <w:r w:rsidR="00C1114A">
        <w:t xml:space="preserve">Het moet gaan om de mogelijkheid tot digitale opslag en niet (enkel) </w:t>
      </w:r>
      <w:r w:rsidR="00226847">
        <w:t xml:space="preserve">de mogelijkheid tot </w:t>
      </w:r>
      <w:r w:rsidR="00C1114A">
        <w:t>opslag op papier.</w:t>
      </w:r>
      <w:r w:rsidR="001C485C">
        <w:rPr>
          <w:rStyle w:val="Voetnootmarkering"/>
        </w:rPr>
        <w:footnoteReference w:id="36"/>
      </w:r>
      <w:r w:rsidR="00CD0D99">
        <w:t xml:space="preserve"> </w:t>
      </w:r>
      <w:r w:rsidR="00CE688D">
        <w:t xml:space="preserve">Indien de voorwaarden op een </w:t>
      </w:r>
      <w:r w:rsidR="00175E18">
        <w:t>d</w:t>
      </w:r>
      <w:r w:rsidR="003341D3">
        <w:t>ownloadvriendelijke</w:t>
      </w:r>
      <w:r w:rsidR="00CE688D">
        <w:t xml:space="preserve"> wijze ter beschikking zijn gesteld, betekent dat niet dat de wederpartij ze ook direct in zijn macht heeft</w:t>
      </w:r>
      <w:r w:rsidR="00BA7919">
        <w:t>, maar dat is volgens art. 6:234 lid 2 BW ook niet vereist.</w:t>
      </w:r>
    </w:p>
    <w:p w14:paraId="5753735A" w14:textId="6837617E" w:rsidR="00175FAB" w:rsidRDefault="00377F42" w:rsidP="00196BD8">
      <w:pPr>
        <w:spacing w:line="276" w:lineRule="auto"/>
        <w:jc w:val="both"/>
      </w:pPr>
      <w:r>
        <w:t xml:space="preserve">De wederpartij dient er zelf voor te zorgen dat de algemene voorwaarden </w:t>
      </w:r>
      <w:r w:rsidR="00AA7DA7">
        <w:t xml:space="preserve">worden opgeslagen ten behoeve van latere </w:t>
      </w:r>
      <w:r w:rsidR="001B7775">
        <w:t>kennisname</w:t>
      </w:r>
      <w:r w:rsidR="00AA7DA7">
        <w:t>. Voor het zogenaamde dossierbelang is de wederpartij dus zelf verantwoordelijk.</w:t>
      </w:r>
      <w:r w:rsidR="003341D3">
        <w:rPr>
          <w:rStyle w:val="Voetnootmarkering"/>
        </w:rPr>
        <w:footnoteReference w:id="37"/>
      </w:r>
      <w:r w:rsidR="00AA7DA7">
        <w:t xml:space="preserve"> </w:t>
      </w:r>
      <w:r w:rsidR="00332D0C">
        <w:t xml:space="preserve">Een probleem dat de </w:t>
      </w:r>
      <w:r w:rsidR="005C7480">
        <w:t>hyperlink</w:t>
      </w:r>
      <w:r w:rsidR="00332D0C">
        <w:t xml:space="preserve"> met zich meebrengt is mijns inziens dat a</w:t>
      </w:r>
      <w:r w:rsidR="00A66165">
        <w:t>lgemene v</w:t>
      </w:r>
      <w:r w:rsidR="00F52675">
        <w:t>oorwaarden</w:t>
      </w:r>
      <w:r w:rsidR="00A25275">
        <w:t xml:space="preserve"> waarnaar de hyperlink verwijst</w:t>
      </w:r>
      <w:r w:rsidR="00F52675">
        <w:t xml:space="preserve"> in de loop van de tijd </w:t>
      </w:r>
      <w:r w:rsidR="00332D0C">
        <w:t xml:space="preserve">kunnen </w:t>
      </w:r>
      <w:r w:rsidR="00F52675">
        <w:t>wijzigen</w:t>
      </w:r>
      <w:r w:rsidR="000334EE">
        <w:t xml:space="preserve"> </w:t>
      </w:r>
      <w:r w:rsidR="00F52675">
        <w:t>waardoor het niet altijd duidelijk is onder welke voorwaarden de overeenkomst is gesloten.</w:t>
      </w:r>
      <w:r w:rsidR="00E3302F">
        <w:t xml:space="preserve"> </w:t>
      </w:r>
      <w:r w:rsidR="00F52675">
        <w:t xml:space="preserve">Daarom </w:t>
      </w:r>
      <w:r w:rsidR="0078284F">
        <w:t>is</w:t>
      </w:r>
      <w:r w:rsidR="00F52675">
        <w:t xml:space="preserve"> een toezending via mail</w:t>
      </w:r>
      <w:r w:rsidR="00F409DE">
        <w:t>, vanuit het oogpunt van dossieropbouw,</w:t>
      </w:r>
      <w:r w:rsidR="00F52675">
        <w:t xml:space="preserve"> een betere optie dan een hyperlink aangezien het dan makkelijker valt te achterhalen</w:t>
      </w:r>
      <w:r w:rsidR="00163F7A">
        <w:t xml:space="preserve"> welke algemene voorwaarden ter beschikking zijn gesteld</w:t>
      </w:r>
      <w:r w:rsidR="00225EDA">
        <w:t xml:space="preserve"> bij </w:t>
      </w:r>
      <w:r w:rsidR="00FF3C42">
        <w:t>het sluiten van de overeenkomst.</w:t>
      </w:r>
    </w:p>
    <w:p w14:paraId="3A8E11BC" w14:textId="0DC636B7" w:rsidR="00ED012C" w:rsidRPr="00883871" w:rsidRDefault="001C51DB" w:rsidP="00196BD8">
      <w:pPr>
        <w:pStyle w:val="Lijstalinea"/>
        <w:numPr>
          <w:ilvl w:val="2"/>
          <w:numId w:val="28"/>
        </w:numPr>
        <w:spacing w:line="276" w:lineRule="auto"/>
        <w:jc w:val="both"/>
        <w:rPr>
          <w:b/>
          <w:bCs/>
        </w:rPr>
      </w:pPr>
      <w:r>
        <w:rPr>
          <w:b/>
          <w:bCs/>
        </w:rPr>
        <w:t>Het t</w:t>
      </w:r>
      <w:r w:rsidR="00A112C7" w:rsidRPr="00883871">
        <w:rPr>
          <w:b/>
          <w:bCs/>
        </w:rPr>
        <w:t>oegankelijkheidsvereiste</w:t>
      </w:r>
    </w:p>
    <w:p w14:paraId="32C6A6E8" w14:textId="11E9C0E5" w:rsidR="00E93093" w:rsidRDefault="00A112C7" w:rsidP="00196BD8">
      <w:pPr>
        <w:spacing w:line="276" w:lineRule="auto"/>
        <w:jc w:val="both"/>
      </w:pPr>
      <w:r>
        <w:t xml:space="preserve">Naast dat </w:t>
      </w:r>
      <w:r w:rsidR="009064B1">
        <w:t>algemene voorwaarden opgeslagen moeten kunnen worden, bepaalt art. 6:234 lid 2 BW ook dat ze toegankelijk moeten zijn voor de wederpartij.</w:t>
      </w:r>
      <w:r w:rsidR="003E3090">
        <w:rPr>
          <w:rStyle w:val="Voetnootmarkering"/>
        </w:rPr>
        <w:footnoteReference w:id="38"/>
      </w:r>
      <w:r w:rsidR="0044233E">
        <w:t xml:space="preserve"> </w:t>
      </w:r>
      <w:r w:rsidR="007A312C">
        <w:t xml:space="preserve"> </w:t>
      </w:r>
      <w:r w:rsidR="00AC6CDF">
        <w:t>‘</w:t>
      </w:r>
      <w:r w:rsidR="0044233E">
        <w:t>Toegankelijkheid</w:t>
      </w:r>
      <w:r w:rsidR="00AC6CDF">
        <w:t xml:space="preserve">’ heeft betrekking op </w:t>
      </w:r>
      <w:r w:rsidR="002A375E">
        <w:t xml:space="preserve">de mogelijkheid tot kennisneming van de inhoud van de algemene voorwaarden door de wederpartij. </w:t>
      </w:r>
      <w:r w:rsidR="009064B1">
        <w:t xml:space="preserve"> </w:t>
      </w:r>
      <w:r w:rsidR="00434E86">
        <w:t>Onder andere u</w:t>
      </w:r>
      <w:r w:rsidR="00853E55">
        <w:t xml:space="preserve">it de wetsgeschiedenis volgt dat </w:t>
      </w:r>
      <w:r w:rsidR="00511ED0">
        <w:t xml:space="preserve">de </w:t>
      </w:r>
      <w:r w:rsidR="00511ED0">
        <w:lastRenderedPageBreak/>
        <w:t>wederpartij eenvoudig kennis moet kunnen nemen van de algemene voorwaarden.</w:t>
      </w:r>
      <w:r w:rsidR="00511ED0">
        <w:rPr>
          <w:rStyle w:val="Voetnootmarkering"/>
        </w:rPr>
        <w:footnoteReference w:id="39"/>
      </w:r>
      <w:r w:rsidR="00534C2A">
        <w:t xml:space="preserve"> </w:t>
      </w:r>
      <w:r w:rsidR="00380564">
        <w:t xml:space="preserve">Bij de </w:t>
      </w:r>
      <w:r w:rsidR="0065009B">
        <w:t>beoordeling</w:t>
      </w:r>
      <w:r w:rsidR="00380564">
        <w:t xml:space="preserve"> of </w:t>
      </w:r>
      <w:r w:rsidR="00A536FB">
        <w:t>éé</w:t>
      </w:r>
      <w:r w:rsidR="00380564">
        <w:t>n of meer algemene voorwaarden moeten worden vernietigd</w:t>
      </w:r>
      <w:r w:rsidR="0065009B">
        <w:t xml:space="preserve"> </w:t>
      </w:r>
      <w:r w:rsidR="001E1E1C">
        <w:t xml:space="preserve">in verband met </w:t>
      </w:r>
      <w:r w:rsidR="0065009B">
        <w:t>onvoldoende</w:t>
      </w:r>
      <w:r w:rsidR="00C2406A">
        <w:t xml:space="preserve"> toegankelijkheid, moet terughoudendheid worden toegepast. </w:t>
      </w:r>
      <w:r w:rsidR="00F650F5">
        <w:t xml:space="preserve">Algemene voorwaarden die cryptisch </w:t>
      </w:r>
      <w:r w:rsidR="007319A7">
        <w:t xml:space="preserve">of anderszins ontoegankelijk zijn geformuleerd hoeven niet per saldo ook een schending van de informatieplicht van art. 6:233 sub b BW </w:t>
      </w:r>
      <w:r w:rsidR="00952341">
        <w:t>op te leveren</w:t>
      </w:r>
      <w:r w:rsidR="007319A7">
        <w:t xml:space="preserve">. </w:t>
      </w:r>
    </w:p>
    <w:p w14:paraId="6F27E146" w14:textId="3340C32D" w:rsidR="00A112C7" w:rsidRDefault="008332D5" w:rsidP="00196BD8">
      <w:pPr>
        <w:spacing w:line="276" w:lineRule="auto"/>
        <w:jc w:val="both"/>
      </w:pPr>
      <w:r>
        <w:t>Volgens H</w:t>
      </w:r>
      <w:r w:rsidR="00B06A28">
        <w:t xml:space="preserve">ijma is </w:t>
      </w:r>
      <w:r w:rsidR="00FE1DF2">
        <w:t>een schending van de informati</w:t>
      </w:r>
      <w:r w:rsidR="007A312C">
        <w:t>e</w:t>
      </w:r>
      <w:r w:rsidR="00FE1DF2">
        <w:t>plicht</w:t>
      </w:r>
      <w:r w:rsidR="00B06A28">
        <w:t xml:space="preserve"> slechts </w:t>
      </w:r>
      <w:r w:rsidR="002B2972">
        <w:t>aan de orde</w:t>
      </w:r>
      <w:r w:rsidR="00B06A28">
        <w:t xml:space="preserve"> indien </w:t>
      </w:r>
      <w:r w:rsidR="00F650F5">
        <w:t xml:space="preserve">de </w:t>
      </w:r>
      <w:r w:rsidR="00CF34C2">
        <w:t xml:space="preserve">algemene voorwaarden </w:t>
      </w:r>
      <w:r w:rsidR="00F55049">
        <w:t>ontoegankelijk zijn geformuleerd</w:t>
      </w:r>
      <w:r w:rsidR="00114A5B">
        <w:t>, maar deze wel toegankelijk geformuleerd of weergegeven hadden kunnen</w:t>
      </w:r>
      <w:r w:rsidR="00750EF2">
        <w:t xml:space="preserve"> of moeten</w:t>
      </w:r>
      <w:r w:rsidR="00114A5B">
        <w:t xml:space="preserve"> worden. In het geval dat dit niet is gedaan, en er dus sprake is van </w:t>
      </w:r>
      <w:r w:rsidR="007A49C1">
        <w:t>versluiering</w:t>
      </w:r>
      <w:r w:rsidR="00114A5B">
        <w:t>, kan er wel een schending van de informatieplicht van art. 6:233 sub b BW zijn.</w:t>
      </w:r>
      <w:r w:rsidR="007A49C1">
        <w:rPr>
          <w:rStyle w:val="Voetnootmarkering"/>
        </w:rPr>
        <w:footnoteReference w:id="40"/>
      </w:r>
      <w:r w:rsidR="00EE2E4B">
        <w:t xml:space="preserve"> </w:t>
      </w:r>
      <w:r w:rsidR="005309C3">
        <w:t xml:space="preserve"> </w:t>
      </w:r>
      <w:r w:rsidR="00CA60EB">
        <w:t>Mijns inziens maakt het bij deze afweging niet uit of de gebruiker de algemene voorwaarden bewust of onbewust ontoegankelijk ter hand heeft gesteld.</w:t>
      </w:r>
      <w:r w:rsidR="003212E3">
        <w:t xml:space="preserve"> </w:t>
      </w:r>
      <w:r w:rsidR="00EE2E4B">
        <w:t xml:space="preserve">Een voorbeeld </w:t>
      </w:r>
      <w:r w:rsidR="00C565B7">
        <w:t>van ontoegankelijke</w:t>
      </w:r>
      <w:r w:rsidR="003C1B46">
        <w:t xml:space="preserve"> algemene voorwaarden </w:t>
      </w:r>
      <w:r w:rsidR="00C565B7">
        <w:t>kwam aan bod in</w:t>
      </w:r>
      <w:r w:rsidR="003C1B46">
        <w:t xml:space="preserve"> een zaak van de kantonrechter in Nijmegen. Hier werd geoordeeld dat een </w:t>
      </w:r>
      <w:r w:rsidR="000636B0">
        <w:t xml:space="preserve">gehanteerd </w:t>
      </w:r>
      <w:r w:rsidR="003C1B46">
        <w:t>lettertype van</w:t>
      </w:r>
      <w:r w:rsidR="005251F1">
        <w:t xml:space="preserve"> 1 millimeter niet kan worden aangemerkt als leesbaar. Doordat de algemene voorwaarden niet (goed) leesbaar waren </w:t>
      </w:r>
      <w:r w:rsidR="00542D6B">
        <w:t>zorgde dat ervoor</w:t>
      </w:r>
      <w:r w:rsidR="005251F1">
        <w:t xml:space="preserve"> dat ze niet aangemerkt konden worden als toegankelijk ex art. 6:234 lid 2 BW.</w:t>
      </w:r>
      <w:r w:rsidR="005251F1">
        <w:rPr>
          <w:rStyle w:val="Voetnootmarkering"/>
        </w:rPr>
        <w:footnoteReference w:id="41"/>
      </w:r>
    </w:p>
    <w:p w14:paraId="51FDB424" w14:textId="56A30A1F" w:rsidR="00740C3F" w:rsidRDefault="00997728" w:rsidP="00196BD8">
      <w:pPr>
        <w:spacing w:line="276" w:lineRule="auto"/>
        <w:jc w:val="both"/>
      </w:pPr>
      <w:r>
        <w:t>Aangezien art. 6:2</w:t>
      </w:r>
      <w:r w:rsidR="003D6884">
        <w:t>3</w:t>
      </w:r>
      <w:r>
        <w:t xml:space="preserve">3 sub b BW </w:t>
      </w:r>
      <w:r w:rsidR="00F15B20">
        <w:t xml:space="preserve"> met betrekking tot algemene voorwaarde</w:t>
      </w:r>
      <w:r w:rsidR="004C65DA">
        <w:t>n</w:t>
      </w:r>
      <w:r w:rsidR="00F15B20">
        <w:t xml:space="preserve"> </w:t>
      </w:r>
      <w:r>
        <w:t>alleen toegepast kan worden in het geval van een versluiering, zal er in de andere gevallen teruggevallen moeten worden op art. 6:2</w:t>
      </w:r>
      <w:r w:rsidR="00AD72F1">
        <w:t>3</w:t>
      </w:r>
      <w:r>
        <w:t>3 sub a BW.</w:t>
      </w:r>
      <w:r w:rsidR="008F2048">
        <w:t xml:space="preserve"> </w:t>
      </w:r>
      <w:r w:rsidR="00DD2BF4">
        <w:t xml:space="preserve">Dit </w:t>
      </w:r>
      <w:r w:rsidR="004A2AEA">
        <w:t xml:space="preserve">subartikel </w:t>
      </w:r>
      <w:r w:rsidR="00453B71">
        <w:t>bevat een algemenere inhoudstoets</w:t>
      </w:r>
      <w:r w:rsidR="00160C8E">
        <w:t>;</w:t>
      </w:r>
      <w:r w:rsidR="000A45B3">
        <w:t xml:space="preserve"> een beding kan worden vernietigd indien het onredelijk bezwarend is</w:t>
      </w:r>
      <w:r w:rsidR="00453B71">
        <w:t>.</w:t>
      </w:r>
      <w:r w:rsidR="009F72C4">
        <w:t xml:space="preserve"> </w:t>
      </w:r>
      <w:r w:rsidR="009F7BD6">
        <w:t>Hierbij</w:t>
      </w:r>
      <w:r w:rsidR="00716C59">
        <w:t xml:space="preserve"> is een lage begrijpelijkheidsgraad een belangrijk gegeven, maar er </w:t>
      </w:r>
      <w:r w:rsidR="00A63EE4">
        <w:t>komt ook betekenis toe aan andere omstandigheden van het geval.</w:t>
      </w:r>
      <w:r w:rsidR="00A63EE4">
        <w:rPr>
          <w:rStyle w:val="Voetnootmarkering"/>
        </w:rPr>
        <w:footnoteReference w:id="42"/>
      </w:r>
      <w:r w:rsidR="00A63EE4">
        <w:t xml:space="preserve"> </w:t>
      </w:r>
      <w:r w:rsidR="001477F2">
        <w:t xml:space="preserve"> </w:t>
      </w:r>
      <w:r w:rsidR="00C27A4F">
        <w:t>Een van de factoren die bij de overweging of een beding onredelijk is kan meespelen is</w:t>
      </w:r>
      <w:r w:rsidR="00C07C9C">
        <w:t xml:space="preserve"> het transparantievereiste</w:t>
      </w:r>
      <w:r w:rsidR="000C341A">
        <w:t>.</w:t>
      </w:r>
      <w:r w:rsidR="00E3026D">
        <w:t xml:space="preserve"> Een wederpartij moet voorafgaand aan het sluiten van de overeenkomst </w:t>
      </w:r>
      <w:r w:rsidR="004C3EEA">
        <w:t xml:space="preserve">op een juiste wijze </w:t>
      </w:r>
      <w:r w:rsidR="00E3026D">
        <w:t>kennis hebben kunnen nemen van de algemene voorwaarden</w:t>
      </w:r>
      <w:r w:rsidR="00474F37">
        <w:t xml:space="preserve">. </w:t>
      </w:r>
      <w:r w:rsidR="00E3026D">
        <w:t xml:space="preserve">Is dit niet zo, dan </w:t>
      </w:r>
      <w:r w:rsidR="00942132">
        <w:t>is dat een element wat zowel bij de beoordeling op basis van art. 6:233 sub a als sub b BW moet worden meegewogen.</w:t>
      </w:r>
      <w:r w:rsidR="00E3026D">
        <w:t xml:space="preserve"> </w:t>
      </w:r>
      <w:r w:rsidR="00056594">
        <w:t xml:space="preserve">De </w:t>
      </w:r>
      <w:r w:rsidR="00D6326E">
        <w:t>verdere omstandigheden van het geval</w:t>
      </w:r>
      <w:r w:rsidR="00056594">
        <w:t xml:space="preserve"> zijn </w:t>
      </w:r>
      <w:r w:rsidR="00D6326E">
        <w:t xml:space="preserve">hier ook </w:t>
      </w:r>
      <w:r w:rsidR="00332E9D">
        <w:t>van belang</w:t>
      </w:r>
      <w:r w:rsidR="00D6326E">
        <w:t xml:space="preserve">. </w:t>
      </w:r>
      <w:r w:rsidR="0053663F">
        <w:t>Denk hierbij ook aan bedingen die</w:t>
      </w:r>
      <w:r w:rsidR="00CF7614">
        <w:t xml:space="preserve"> grammaticaal, formeel of materieel niet transparant zijn.</w:t>
      </w:r>
      <w:r w:rsidR="007478F7">
        <w:rPr>
          <w:rStyle w:val="Voetnootmarkering"/>
        </w:rPr>
        <w:footnoteReference w:id="43"/>
      </w:r>
    </w:p>
    <w:p w14:paraId="4547DEF4" w14:textId="347A960C" w:rsidR="00883871" w:rsidRPr="00740C3F" w:rsidRDefault="001C51DB" w:rsidP="00196BD8">
      <w:pPr>
        <w:pStyle w:val="Lijstalinea"/>
        <w:numPr>
          <w:ilvl w:val="2"/>
          <w:numId w:val="28"/>
        </w:numPr>
        <w:spacing w:line="276" w:lineRule="auto"/>
        <w:jc w:val="both"/>
        <w:rPr>
          <w:b/>
          <w:bCs/>
        </w:rPr>
      </w:pPr>
      <w:r w:rsidRPr="00740C3F">
        <w:rPr>
          <w:b/>
          <w:bCs/>
        </w:rPr>
        <w:t>Het u</w:t>
      </w:r>
      <w:r w:rsidR="00883871" w:rsidRPr="00740C3F">
        <w:rPr>
          <w:b/>
          <w:bCs/>
        </w:rPr>
        <w:t>itdrukkelijk instemmingsvereiste</w:t>
      </w:r>
    </w:p>
    <w:p w14:paraId="3F0E8D63" w14:textId="2C52E12A" w:rsidR="00587305" w:rsidRDefault="00AD4641" w:rsidP="00196BD8">
      <w:pPr>
        <w:spacing w:line="276" w:lineRule="auto"/>
        <w:jc w:val="both"/>
      </w:pPr>
      <w:r>
        <w:t xml:space="preserve">Sinds 1 juli 2010 mogen </w:t>
      </w:r>
      <w:r w:rsidR="008D535B">
        <w:t xml:space="preserve">ex art. 6:234 lid 3 BW </w:t>
      </w:r>
      <w:r>
        <w:t xml:space="preserve">ook voor offlineovereenkomsten elektronische algemene voorwaarden worden verstrekt, mits hier uitdrukkelijk mee </w:t>
      </w:r>
      <w:r w:rsidR="004A2508">
        <w:t>wordt</w:t>
      </w:r>
      <w:r>
        <w:t xml:space="preserve"> ingestemd </w:t>
      </w:r>
      <w:r w:rsidR="002F29B9">
        <w:t>door</w:t>
      </w:r>
      <w:r>
        <w:t xml:space="preserve"> de wederpartij.</w:t>
      </w:r>
      <w:r w:rsidR="000918AF">
        <w:t xml:space="preserve"> </w:t>
      </w:r>
      <w:r w:rsidR="00F277FF">
        <w:t xml:space="preserve">Deze vereiste uitdrukkelijke instemming beschermt de wederpartij bij offline gesloten overeenkomsten wanneer er geen mogelijkheid is voor de </w:t>
      </w:r>
      <w:r w:rsidR="00F277FF">
        <w:lastRenderedPageBreak/>
        <w:t>wederpartij om elektronisch van de algemene voorwaarden kennis te nemen. Zo kan dit niet worden opgedrongen aan iemand die geen gebruik kan of wil maken van elektronische documenten. Niet iedereen is immers even vaardig met elektronische communicatie.</w:t>
      </w:r>
      <w:r w:rsidR="00F277FF">
        <w:rPr>
          <w:rStyle w:val="Voetnootmarkering"/>
        </w:rPr>
        <w:footnoteReference w:id="44"/>
      </w:r>
      <w:r w:rsidR="00587305">
        <w:t xml:space="preserve"> </w:t>
      </w:r>
      <w:r w:rsidR="00955858">
        <w:t xml:space="preserve">Voor beide partijen kan het </w:t>
      </w:r>
      <w:r w:rsidR="00587305">
        <w:t xml:space="preserve">echter </w:t>
      </w:r>
      <w:r w:rsidR="00955858">
        <w:t xml:space="preserve">soms juist </w:t>
      </w:r>
      <w:r w:rsidR="006173C9">
        <w:t>doelmatiger</w:t>
      </w:r>
      <w:r w:rsidR="00955858">
        <w:t xml:space="preserve"> zijn om de voorwaarden elektronisch ter beschikking te hebben</w:t>
      </w:r>
      <w:r w:rsidR="00704EB0">
        <w:t>.</w:t>
      </w:r>
      <w:r w:rsidR="006173C9">
        <w:rPr>
          <w:rStyle w:val="Voetnootmarkering"/>
        </w:rPr>
        <w:footnoteReference w:id="45"/>
      </w:r>
      <w:r w:rsidR="007F0500">
        <w:t xml:space="preserve"> </w:t>
      </w:r>
    </w:p>
    <w:p w14:paraId="76C32CD9" w14:textId="74DFE110" w:rsidR="009869C9" w:rsidRDefault="00401434" w:rsidP="00196BD8">
      <w:pPr>
        <w:spacing w:line="276" w:lineRule="auto"/>
        <w:jc w:val="both"/>
      </w:pPr>
      <w:r>
        <w:t xml:space="preserve">Van belang is dat het gaat om uitdrukkelijke instemming. </w:t>
      </w:r>
      <w:r w:rsidR="006D060D">
        <w:t>Stilzwijgende instemming is niet toegestaan</w:t>
      </w:r>
      <w:r w:rsidR="00B656E3">
        <w:t>;</w:t>
      </w:r>
      <w:r w:rsidR="006D060D">
        <w:t xml:space="preserve"> een standaard akkoordverklaring of een opt-out optie mag dan ook niet.</w:t>
      </w:r>
      <w:r w:rsidR="006D060D">
        <w:rPr>
          <w:rStyle w:val="Voetnootmarkering"/>
        </w:rPr>
        <w:footnoteReference w:id="46"/>
      </w:r>
      <w:r w:rsidR="006D060D">
        <w:t xml:space="preserve"> </w:t>
      </w:r>
      <w:r w:rsidR="00EB17C7">
        <w:t xml:space="preserve">In </w:t>
      </w:r>
      <w:r w:rsidR="007803C0">
        <w:t xml:space="preserve">de </w:t>
      </w:r>
      <w:r w:rsidR="00787E57">
        <w:t>M</w:t>
      </w:r>
      <w:r w:rsidR="007803C0">
        <w:t xml:space="preserve">emorie </w:t>
      </w:r>
      <w:r w:rsidR="00787E57">
        <w:t xml:space="preserve">van toelichting </w:t>
      </w:r>
      <w:r w:rsidR="00F277FF">
        <w:t>staat dat</w:t>
      </w:r>
      <w:r w:rsidR="007803C0">
        <w:t xml:space="preserve"> </w:t>
      </w:r>
      <w:r w:rsidR="00242D11">
        <w:t xml:space="preserve">aan </w:t>
      </w:r>
      <w:r w:rsidR="003340B6">
        <w:t>de</w:t>
      </w:r>
      <w:r w:rsidR="00242D11">
        <w:t xml:space="preserve"> ondergrens voor</w:t>
      </w:r>
      <w:r w:rsidR="003340B6">
        <w:t xml:space="preserve"> uitdrukkelijke instemming</w:t>
      </w:r>
      <w:r w:rsidR="0042039C">
        <w:t xml:space="preserve"> </w:t>
      </w:r>
      <w:r w:rsidR="00242D11">
        <w:t xml:space="preserve">al vrij snel voldaan is. </w:t>
      </w:r>
      <w:r w:rsidR="006E757D">
        <w:t xml:space="preserve">Een aparte schriftelijke </w:t>
      </w:r>
      <w:r w:rsidR="00C7424C">
        <w:t>instemming zal vooraf verkregen moeten worden</w:t>
      </w:r>
      <w:r w:rsidR="004F2837">
        <w:t>, maar</w:t>
      </w:r>
      <w:r w:rsidR="00C7424C">
        <w:t xml:space="preserve"> </w:t>
      </w:r>
      <w:r w:rsidR="004F2837">
        <w:t>d</w:t>
      </w:r>
      <w:r w:rsidR="00C7424C">
        <w:t>eze ui</w:t>
      </w:r>
      <w:r w:rsidR="00117B2B">
        <w:t>tdrukkelijke instemming kan</w:t>
      </w:r>
      <w:r w:rsidR="0042039C">
        <w:t xml:space="preserve"> </w:t>
      </w:r>
      <w:r w:rsidR="00787E57">
        <w:t xml:space="preserve">al </w:t>
      </w:r>
      <w:r w:rsidR="003340B6">
        <w:t>worden gegeven door</w:t>
      </w:r>
      <w:r w:rsidR="0042039C">
        <w:t xml:space="preserve"> een </w:t>
      </w:r>
      <w:r w:rsidR="00745A4A">
        <w:t xml:space="preserve">vakje </w:t>
      </w:r>
      <w:r w:rsidR="000007B9">
        <w:t>dat</w:t>
      </w:r>
      <w:r w:rsidR="00745A4A">
        <w:t xml:space="preserve"> aangevinkt moet worden op de overeenkomst.</w:t>
      </w:r>
      <w:r w:rsidR="00745A4A">
        <w:rPr>
          <w:rStyle w:val="Voetnootmarkering"/>
        </w:rPr>
        <w:footnoteReference w:id="47"/>
      </w:r>
      <w:r w:rsidR="0095606E">
        <w:t xml:space="preserve"> </w:t>
      </w:r>
      <w:r w:rsidR="00F663BC">
        <w:t xml:space="preserve"> </w:t>
      </w:r>
      <w:r w:rsidR="0069656F">
        <w:t xml:space="preserve">Problematisch wordt het wanneer de wederpartij weigert </w:t>
      </w:r>
      <w:r w:rsidR="000007B9">
        <w:t>uitdrukkelijke instemming te geven</w:t>
      </w:r>
      <w:r w:rsidR="0069656F">
        <w:t xml:space="preserve">. In dat geval dient er alsnog een </w:t>
      </w:r>
      <w:r w:rsidR="009869C9">
        <w:t>schriftelijke</w:t>
      </w:r>
      <w:r w:rsidR="0069656F">
        <w:t xml:space="preserve"> versie van de algemene voorwaarden </w:t>
      </w:r>
      <w:r w:rsidR="000202E5">
        <w:t>aanwezig te zijn bij het sluiten van de overeenkoms</w:t>
      </w:r>
      <w:r w:rsidR="00C161BA">
        <w:t>t</w:t>
      </w:r>
      <w:r w:rsidR="006B1FEE">
        <w:t>, z</w:t>
      </w:r>
      <w:r w:rsidR="00C161BA">
        <w:t>odat de algemene voorwaarden alsnog ter hand kunnen worden gesteld.</w:t>
      </w:r>
      <w:r w:rsidR="00C524B7">
        <w:t xml:space="preserve"> </w:t>
      </w:r>
      <w:r w:rsidR="002E50F0">
        <w:t xml:space="preserve">Aangezien er alsnog een schriftelijke versie </w:t>
      </w:r>
      <w:r w:rsidR="0057367B">
        <w:t>beschikbaar moet zijn</w:t>
      </w:r>
      <w:r w:rsidR="002E50F0">
        <w:t>, zal er in de praktijk weinig gebruik worden gemaakt van de optie tot elektronische algemene voorwaarden</w:t>
      </w:r>
      <w:r w:rsidR="004B514E">
        <w:t xml:space="preserve"> bij offlineovereenkomsten</w:t>
      </w:r>
      <w:r w:rsidR="002E50F0">
        <w:t xml:space="preserve">. </w:t>
      </w:r>
    </w:p>
    <w:p w14:paraId="2638F444" w14:textId="418009D9" w:rsidR="000E16B1" w:rsidRDefault="008456DA" w:rsidP="00196BD8">
      <w:pPr>
        <w:spacing w:line="276" w:lineRule="auto"/>
        <w:jc w:val="both"/>
      </w:pPr>
      <w:r>
        <w:t>Verder is vereist dat de algemene voorwaarden ook in dit geval v</w:t>
      </w:r>
      <w:r w:rsidR="0057367B">
        <w:t>óó</w:t>
      </w:r>
      <w:r>
        <w:t>r of bij het sluiten van de overeenkomst worden overhandigd. E</w:t>
      </w:r>
      <w:r w:rsidR="005D625A">
        <w:t>r</w:t>
      </w:r>
      <w:r>
        <w:t xml:space="preserve"> moet </w:t>
      </w:r>
      <w:r w:rsidR="005D625A">
        <w:t xml:space="preserve">een optie </w:t>
      </w:r>
      <w:r w:rsidR="00EF1135">
        <w:t>zijn</w:t>
      </w:r>
      <w:r w:rsidR="005D625A">
        <w:t xml:space="preserve"> om de algemene voorwaarden direct met een opslag</w:t>
      </w:r>
      <w:r w:rsidR="00354F00">
        <w:t>vriendelijke en elektronische optie ter beschikking te stellen ten tijde van het sluiten van de overeenkoms</w:t>
      </w:r>
      <w:r w:rsidR="00B5666F">
        <w:t>t. Denk bijvoorbeeld aan een email die automatisch kan worden verzonden.</w:t>
      </w:r>
      <w:r w:rsidR="00EF1135">
        <w:t xml:space="preserve"> </w:t>
      </w:r>
      <w:r w:rsidR="00B5666F">
        <w:t>Is</w:t>
      </w:r>
      <w:r w:rsidR="00EF1135">
        <w:t xml:space="preserve"> deze er </w:t>
      </w:r>
      <w:r w:rsidR="008965B1">
        <w:t xml:space="preserve">op dat moment </w:t>
      </w:r>
      <w:r w:rsidR="00EF1135">
        <w:t>niet dan word</w:t>
      </w:r>
      <w:r w:rsidR="003B6FA7">
        <w:t xml:space="preserve">en de algemene voorwaarden </w:t>
      </w:r>
      <w:r w:rsidR="00EF1135">
        <w:t>pas toegezonden ná het sluiten van de overeenkomst en dat is al te laat.</w:t>
      </w:r>
      <w:r w:rsidR="00887E5A">
        <w:t xml:space="preserve"> </w:t>
      </w:r>
      <w:r w:rsidR="004626CE">
        <w:t xml:space="preserve">Op het moment dat de overeenkomst zelf wordt aanvaard is de overeenkomst </w:t>
      </w:r>
      <w:r w:rsidR="008B675F">
        <w:t xml:space="preserve">immers </w:t>
      </w:r>
      <w:r w:rsidR="004626CE">
        <w:t xml:space="preserve">al gesloten. </w:t>
      </w:r>
      <w:r w:rsidR="000E16B1">
        <w:t xml:space="preserve">Dit laat </w:t>
      </w:r>
      <w:r w:rsidR="00D22CFD">
        <w:t xml:space="preserve">voor de gebruiker </w:t>
      </w:r>
      <w:r w:rsidR="000E16B1">
        <w:t>geen groot tijdvak over om de algemene voorwaarden te</w:t>
      </w:r>
      <w:r w:rsidR="00B21998">
        <w:t>r hand te stellen</w:t>
      </w:r>
      <w:r w:rsidR="000E16B1">
        <w:t xml:space="preserve">. </w:t>
      </w:r>
    </w:p>
    <w:p w14:paraId="25CAB5F7" w14:textId="47C4F561" w:rsidR="00401434" w:rsidRDefault="00B72770" w:rsidP="00196BD8">
      <w:pPr>
        <w:spacing w:line="276" w:lineRule="auto"/>
        <w:jc w:val="both"/>
      </w:pPr>
      <w:r>
        <w:t>Kortom,</w:t>
      </w:r>
      <w:r w:rsidR="00A26547">
        <w:t xml:space="preserve"> l</w:t>
      </w:r>
      <w:r w:rsidR="000760C3">
        <w:t xml:space="preserve">id 3 kent </w:t>
      </w:r>
      <w:r w:rsidR="00B21998">
        <w:t>meerdere</w:t>
      </w:r>
      <w:r w:rsidR="000760C3">
        <w:t xml:space="preserve"> praktische drempels waardoor het vrij onwaarschijnlijk </w:t>
      </w:r>
      <w:r w:rsidR="006D060D">
        <w:t>is</w:t>
      </w:r>
      <w:r w:rsidR="000760C3">
        <w:t xml:space="preserve"> dat er veel gebruik gemaakt </w:t>
      </w:r>
      <w:r w:rsidR="00B21998">
        <w:t>wor</w:t>
      </w:r>
      <w:r w:rsidR="00A151E3">
        <w:t xml:space="preserve">dt </w:t>
      </w:r>
      <w:r w:rsidR="000760C3">
        <w:t xml:space="preserve">van deze </w:t>
      </w:r>
      <w:r w:rsidR="006D060D">
        <w:t>wijze</w:t>
      </w:r>
      <w:r w:rsidR="000760C3">
        <w:t xml:space="preserve"> van </w:t>
      </w:r>
      <w:r w:rsidR="006D060D">
        <w:t>overhandiging</w:t>
      </w:r>
      <w:r w:rsidR="000760C3">
        <w:t xml:space="preserve"> van de algemene voorwaarden.</w:t>
      </w:r>
      <w:r w:rsidR="00A72B35">
        <w:rPr>
          <w:rStyle w:val="Voetnootmarkering"/>
        </w:rPr>
        <w:footnoteReference w:id="48"/>
      </w:r>
      <w:r w:rsidR="00DA5742">
        <w:t xml:space="preserve"> </w:t>
      </w:r>
      <w:r w:rsidR="00661D84">
        <w:t xml:space="preserve"> Ik vraag mij om die reden dan ook af of het bestaan van deze regeling nog van toegevoegde waarde is.</w:t>
      </w:r>
    </w:p>
    <w:p w14:paraId="0BD7E305" w14:textId="5089EFD3" w:rsidR="004F7C7A" w:rsidRPr="00661D84" w:rsidRDefault="004F7C7A" w:rsidP="00196BD8">
      <w:pPr>
        <w:pStyle w:val="Lijstalinea"/>
        <w:numPr>
          <w:ilvl w:val="2"/>
          <w:numId w:val="28"/>
        </w:numPr>
        <w:spacing w:line="276" w:lineRule="auto"/>
        <w:jc w:val="both"/>
        <w:rPr>
          <w:b/>
          <w:bCs/>
        </w:rPr>
      </w:pPr>
      <w:r w:rsidRPr="00661D84">
        <w:rPr>
          <w:b/>
          <w:bCs/>
        </w:rPr>
        <w:t>Verweren van de gebruiker van de algemene voorwaarden</w:t>
      </w:r>
    </w:p>
    <w:p w14:paraId="4D3AC456" w14:textId="2E092E40" w:rsidR="004F7C7A" w:rsidRDefault="00A2455D" w:rsidP="00196BD8">
      <w:pPr>
        <w:spacing w:line="276" w:lineRule="auto"/>
        <w:jc w:val="both"/>
      </w:pPr>
      <w:r>
        <w:t>In de situatie dat niet aan de terhandstellingsplicht van de algemene voorwaarden is voldaan</w:t>
      </w:r>
      <w:r w:rsidR="00A25E81">
        <w:t xml:space="preserve"> en tevens niet is voldaan aan de uitzonderingen in art. 6:234 BW, dan bevat </w:t>
      </w:r>
      <w:r w:rsidR="004F7C7A">
        <w:t xml:space="preserve">wet </w:t>
      </w:r>
      <w:r w:rsidR="004F7C7A">
        <w:lastRenderedPageBreak/>
        <w:t xml:space="preserve">zelf </w:t>
      </w:r>
      <w:r w:rsidR="00A25E81">
        <w:t>nog</w:t>
      </w:r>
      <w:r w:rsidR="004F7C7A">
        <w:t xml:space="preserve"> twee verweren waar de gebruiker van de algemene voorwaarden gebruik van kan maken.</w:t>
      </w:r>
      <w:r w:rsidR="00026AB3">
        <w:t xml:space="preserve"> Het eerste verweer kan weer onderverdeeld worden in drie deelverweren:</w:t>
      </w:r>
    </w:p>
    <w:p w14:paraId="31E7B7B0" w14:textId="7F02CD06" w:rsidR="001613BA" w:rsidRDefault="001613BA" w:rsidP="00196BD8">
      <w:pPr>
        <w:spacing w:line="276" w:lineRule="auto"/>
        <w:jc w:val="both"/>
      </w:pPr>
      <w:r>
        <w:t xml:space="preserve">1. </w:t>
      </w:r>
      <w:r w:rsidR="00272B2F">
        <w:t>I</w:t>
      </w:r>
      <w:r>
        <w:t>k hoef de algemene voorwaarden niet ter hand te stellen, want</w:t>
      </w:r>
    </w:p>
    <w:p w14:paraId="3BB07696" w14:textId="5B4B6F8A" w:rsidR="00E87D0C" w:rsidRDefault="001613BA" w:rsidP="00196BD8">
      <w:pPr>
        <w:spacing w:line="276" w:lineRule="auto"/>
        <w:ind w:firstLine="708"/>
        <w:jc w:val="both"/>
      </w:pPr>
      <w:r>
        <w:t xml:space="preserve">a. </w:t>
      </w:r>
      <w:r w:rsidR="00E87D0C">
        <w:t xml:space="preserve"> </w:t>
      </w:r>
      <w:proofErr w:type="gramStart"/>
      <w:r w:rsidR="00464868">
        <w:t>i</w:t>
      </w:r>
      <w:r w:rsidR="00A91B1C">
        <w:t>k</w:t>
      </w:r>
      <w:proofErr w:type="gramEnd"/>
      <w:r w:rsidR="00E87D0C">
        <w:t xml:space="preserve"> had te maken met een grote nationale wederpartij (art. 6:235 lid 1 BW);</w:t>
      </w:r>
    </w:p>
    <w:p w14:paraId="656D3EBD" w14:textId="517091D8" w:rsidR="001613BA" w:rsidRDefault="00E87D0C" w:rsidP="00196BD8">
      <w:pPr>
        <w:spacing w:line="276" w:lineRule="auto"/>
        <w:ind w:left="708"/>
        <w:jc w:val="both"/>
      </w:pPr>
      <w:r>
        <w:t xml:space="preserve">b. </w:t>
      </w:r>
      <w:r w:rsidR="00272B2F">
        <w:t>de wederpartij gebruikt zelf dezelfde of nagenoeg dezelfde</w:t>
      </w:r>
      <w:r w:rsidR="00904100">
        <w:t xml:space="preserve"> algemene voorwaarden in haar overeenkomsten (art. 6:235 lid 2 BW)</w:t>
      </w:r>
      <w:r w:rsidR="00F009A8">
        <w:t>; of</w:t>
      </w:r>
    </w:p>
    <w:p w14:paraId="6ED9FBA0" w14:textId="7B7D7972" w:rsidR="00F009A8" w:rsidRDefault="00F009A8" w:rsidP="00196BD8">
      <w:pPr>
        <w:spacing w:line="276" w:lineRule="auto"/>
        <w:ind w:left="708"/>
        <w:jc w:val="both"/>
      </w:pPr>
      <w:r>
        <w:t xml:space="preserve">c. de wederpartij is een in het buitenland gevestigde professionele partij, dus haar komt überhaupt </w:t>
      </w:r>
      <w:r w:rsidR="00A5317F">
        <w:t>geen beroep toe op de algemenevoorwaardenregeling (art. 6:247 BW).</w:t>
      </w:r>
    </w:p>
    <w:p w14:paraId="478E093C" w14:textId="7F9EFA1E" w:rsidR="00A5317F" w:rsidRDefault="00A5317F" w:rsidP="00196BD8">
      <w:pPr>
        <w:spacing w:line="276" w:lineRule="auto"/>
        <w:jc w:val="both"/>
      </w:pPr>
      <w:r>
        <w:t>2. Het is naar maatstaven van r</w:t>
      </w:r>
      <w:r w:rsidR="00A2455D">
        <w:t>edelijkheid en billijkheid onaanvaardbaar om een beroep te doen op een vernietigingsgrond (art. 6:248 lid 2 BW).</w:t>
      </w:r>
      <w:r w:rsidR="00341FE9">
        <w:t xml:space="preserve"> </w:t>
      </w:r>
    </w:p>
    <w:p w14:paraId="10087404" w14:textId="5F405901" w:rsidR="00341FE9" w:rsidRPr="004F7C7A" w:rsidRDefault="00341FE9" w:rsidP="00196BD8">
      <w:pPr>
        <w:spacing w:line="276" w:lineRule="auto"/>
        <w:jc w:val="both"/>
      </w:pPr>
      <w:r>
        <w:t>In het tweede geval dient het beroep op een vernietigingsgrond dus onaanvaardbaar te zijn.</w:t>
      </w:r>
      <w:r w:rsidR="00A66049">
        <w:t xml:space="preserve"> Deze maatstaf is erg streng en noopt tot terughoudendheid. Op de gebruiker rust immers een actieve informatieplicht</w:t>
      </w:r>
      <w:r w:rsidR="00F231F8">
        <w:t xml:space="preserve"> en </w:t>
      </w:r>
      <w:r w:rsidR="00A66049">
        <w:t>hier kan niet zomaar van worden afgeweken.</w:t>
      </w:r>
      <w:r w:rsidR="008D41F1">
        <w:t xml:space="preserve"> Een voorbeeld waar deze situatie wel speelt is bijvoorbeeld in de situatie dat de wederpartij al bekend was met de algemene voorwaarden</w:t>
      </w:r>
      <w:r w:rsidR="006A2BBD">
        <w:t xml:space="preserve">, zoals geformuleerd in </w:t>
      </w:r>
      <w:r w:rsidR="006A2BBD" w:rsidRPr="00013E9E">
        <w:rPr>
          <w:i/>
          <w:iCs/>
        </w:rPr>
        <w:t>Geurtzen/Kampstaal</w:t>
      </w:r>
      <w:r w:rsidR="006A2BBD">
        <w:t xml:space="preserve"> en De </w:t>
      </w:r>
      <w:r w:rsidR="006A2BBD" w:rsidRPr="006A2BBD">
        <w:rPr>
          <w:i/>
          <w:iCs/>
        </w:rPr>
        <w:t>eendracht/Doens</w:t>
      </w:r>
      <w:r w:rsidR="006A2BBD">
        <w:t>.</w:t>
      </w:r>
      <w:r w:rsidR="00025792">
        <w:rPr>
          <w:rStyle w:val="Voetnootmarkering"/>
        </w:rPr>
        <w:footnoteReference w:id="49"/>
      </w:r>
      <w:r w:rsidR="00332CA2">
        <w:t xml:space="preserve"> Verder komt deze uitzondering nog niet voor in de rechtspraak.</w:t>
      </w:r>
    </w:p>
    <w:p w14:paraId="3C9D0F99" w14:textId="1A41CCD9" w:rsidR="00AE3ABB" w:rsidRDefault="00B41B68" w:rsidP="00196BD8">
      <w:pPr>
        <w:pStyle w:val="Kop2"/>
        <w:numPr>
          <w:ilvl w:val="1"/>
          <w:numId w:val="28"/>
        </w:numPr>
        <w:spacing w:line="276" w:lineRule="auto"/>
        <w:jc w:val="both"/>
      </w:pPr>
      <w:bookmarkStart w:id="12" w:name="_Toc182382068"/>
      <w:bookmarkStart w:id="13" w:name="_Toc186375505"/>
      <w:r>
        <w:t>Tussenc</w:t>
      </w:r>
      <w:r w:rsidR="00D13722">
        <w:t>onclusie</w:t>
      </w:r>
      <w:bookmarkEnd w:id="12"/>
      <w:bookmarkEnd w:id="13"/>
      <w:r w:rsidR="00936852">
        <w:t xml:space="preserve"> </w:t>
      </w:r>
    </w:p>
    <w:p w14:paraId="69544DEF" w14:textId="1955FFA8" w:rsidR="00D33B59" w:rsidRDefault="00250CE3" w:rsidP="00196BD8">
      <w:pPr>
        <w:spacing w:line="276" w:lineRule="auto"/>
        <w:jc w:val="both"/>
      </w:pPr>
      <w:r>
        <w:t>In dit hoof</w:t>
      </w:r>
      <w:r w:rsidR="00CE1EE9">
        <w:t>d</w:t>
      </w:r>
      <w:r>
        <w:t>stuk zijn de vereisten van</w:t>
      </w:r>
      <w:r w:rsidR="000F06E7">
        <w:t xml:space="preserve"> terhandstelling van de algemene voorwaarden ex</w:t>
      </w:r>
      <w:r>
        <w:t xml:space="preserve"> art. 6:234 BW </w:t>
      </w:r>
      <w:r w:rsidR="008B40F5">
        <w:t>uiteengezet</w:t>
      </w:r>
      <w:r>
        <w:t xml:space="preserve">. </w:t>
      </w:r>
      <w:r w:rsidR="000C612E">
        <w:t>Indien</w:t>
      </w:r>
      <w:r w:rsidR="000F06E7">
        <w:t xml:space="preserve"> niet </w:t>
      </w:r>
      <w:r w:rsidR="000C612E">
        <w:t xml:space="preserve">wordt </w:t>
      </w:r>
      <w:r w:rsidR="000F06E7">
        <w:t>voldaan aan deze voorwaarden leidt dit tot vernietiging van de gehele algemene voorwaarden ex art. 6:233</w:t>
      </w:r>
      <w:r w:rsidR="005C6CFB">
        <w:t xml:space="preserve"> sub b</w:t>
      </w:r>
      <w:r w:rsidR="000F06E7">
        <w:t xml:space="preserve"> BW.</w:t>
      </w:r>
      <w:r w:rsidR="00D53745">
        <w:t xml:space="preserve"> Art. 6:234 BW brengt zelf een aantal complicaties met zich mee. </w:t>
      </w:r>
      <w:r w:rsidR="00D33B59">
        <w:t xml:space="preserve"> </w:t>
      </w:r>
      <w:r w:rsidR="00D53745">
        <w:t>Zo</w:t>
      </w:r>
      <w:r w:rsidR="00B13162">
        <w:t xml:space="preserve"> </w:t>
      </w:r>
      <w:r w:rsidR="00095A09">
        <w:t>bevat</w:t>
      </w:r>
      <w:r w:rsidR="00B13162">
        <w:t xml:space="preserve"> </w:t>
      </w:r>
      <w:r w:rsidR="00D53745">
        <w:t>lid 1</w:t>
      </w:r>
      <w:r w:rsidR="00B13162">
        <w:t xml:space="preserve"> </w:t>
      </w:r>
      <w:r w:rsidR="00095A09">
        <w:t xml:space="preserve">een verwijzing naar </w:t>
      </w:r>
      <w:r w:rsidR="00B13162">
        <w:t>art. 6:230c BW</w:t>
      </w:r>
      <w:r w:rsidR="005442A2">
        <w:t xml:space="preserve"> die de </w:t>
      </w:r>
      <w:r w:rsidR="009A2E16">
        <w:t>informatieplicht</w:t>
      </w:r>
      <w:r w:rsidR="00D33B59">
        <w:t xml:space="preserve"> bij </w:t>
      </w:r>
      <w:r w:rsidR="005442A2">
        <w:t xml:space="preserve">dienstverleners regelt. </w:t>
      </w:r>
      <w:r w:rsidR="00AC633A">
        <w:t xml:space="preserve">Deze toevoeging heeft in de literatuur tot een discussie geleid over de reikwijdte van </w:t>
      </w:r>
      <w:r w:rsidR="000116AF">
        <w:t xml:space="preserve">art. 6:234 lid 1 BW. </w:t>
      </w:r>
      <w:r w:rsidR="009A2E16">
        <w:t>Een</w:t>
      </w:r>
      <w:r w:rsidR="000116AF">
        <w:t xml:space="preserve"> ruime interpretatie suggereert dat alle gebruikers van algemene voorwaarden kunnen voldoen </w:t>
      </w:r>
      <w:r w:rsidR="00E21825">
        <w:t>aan de informatieplicht ex art. 6:230c BW. De restrictieve leer</w:t>
      </w:r>
      <w:r w:rsidR="009B247C">
        <w:t xml:space="preserve"> </w:t>
      </w:r>
      <w:r w:rsidR="009A2E16">
        <w:t>staat het gebruik van</w:t>
      </w:r>
      <w:r w:rsidR="008F797D">
        <w:t xml:space="preserve"> deze informatieplicht echter alleen </w:t>
      </w:r>
      <w:r w:rsidR="009A2E16">
        <w:t>toe</w:t>
      </w:r>
      <w:r w:rsidR="008F797D">
        <w:t xml:space="preserve"> </w:t>
      </w:r>
      <w:r w:rsidR="009A2E16">
        <w:t>bij</w:t>
      </w:r>
      <w:r w:rsidR="008F797D">
        <w:t xml:space="preserve"> dienstverrichters genoemd in de Dienstenrichtlijn</w:t>
      </w:r>
      <w:r w:rsidR="0012573E">
        <w:t>.</w:t>
      </w:r>
      <w:r w:rsidR="00556877">
        <w:t xml:space="preserve"> In de literatuur wordt vooral de restrictieve leer ondersteund.</w:t>
      </w:r>
      <w:r w:rsidR="00332CA2">
        <w:rPr>
          <w:rStyle w:val="Voetnootmarkering"/>
        </w:rPr>
        <w:footnoteReference w:id="50"/>
      </w:r>
    </w:p>
    <w:p w14:paraId="6B81710B" w14:textId="14F0A555" w:rsidR="00BF64BC" w:rsidRDefault="00D33B59" w:rsidP="00196BD8">
      <w:pPr>
        <w:spacing w:line="276" w:lineRule="auto"/>
        <w:jc w:val="both"/>
      </w:pPr>
      <w:r>
        <w:t>Daarnaast word</w:t>
      </w:r>
      <w:r w:rsidR="00B022C9">
        <w:t>en de vereisten van elektronische terhandstelling</w:t>
      </w:r>
      <w:r w:rsidR="00F8367F">
        <w:t xml:space="preserve">, zoals beschreven in art. 6:234 lid 2 en 3 BW, </w:t>
      </w:r>
      <w:r w:rsidR="00B022C9">
        <w:t xml:space="preserve">in dit hoofdstuk nader </w:t>
      </w:r>
      <w:r w:rsidR="00854A23">
        <w:t>besproken</w:t>
      </w:r>
      <w:r w:rsidR="00B022C9">
        <w:t xml:space="preserve">. </w:t>
      </w:r>
      <w:r w:rsidR="0060056E">
        <w:t xml:space="preserve">De algemene voorwaarden </w:t>
      </w:r>
      <w:r w:rsidR="008E1024">
        <w:t xml:space="preserve">kunnen in dat geval altijd online </w:t>
      </w:r>
      <w:r w:rsidR="00E45300">
        <w:t>verstrekt worden</w:t>
      </w:r>
      <w:r w:rsidR="009A066D">
        <w:t xml:space="preserve"> indien </w:t>
      </w:r>
      <w:r w:rsidR="008E1024">
        <w:t xml:space="preserve">de wederpartij op een doeltreffende en eenvoudige </w:t>
      </w:r>
      <w:r w:rsidR="00854A23">
        <w:t>wijze</w:t>
      </w:r>
      <w:r w:rsidR="008E1024">
        <w:t xml:space="preserve"> kennis kan </w:t>
      </w:r>
      <w:r w:rsidR="00B74223">
        <w:t>nemen</w:t>
      </w:r>
      <w:r w:rsidR="008E1024">
        <w:t xml:space="preserve"> van de voorwaarden. </w:t>
      </w:r>
      <w:r w:rsidR="00F66C0D">
        <w:t xml:space="preserve">Het gebruik van een opvallende hyperlink naar duidelijk geformuleerde algemene voorwaarden is in </w:t>
      </w:r>
      <w:r w:rsidR="00F66C0D">
        <w:lastRenderedPageBreak/>
        <w:t>dit geval te zien als ondergren</w:t>
      </w:r>
      <w:r w:rsidR="00EA0C10">
        <w:t>s, mits de</w:t>
      </w:r>
      <w:r w:rsidR="009A066D">
        <w:t xml:space="preserve"> voorwaarden</w:t>
      </w:r>
      <w:r w:rsidR="00EA0C10">
        <w:t xml:space="preserve"> ook </w:t>
      </w:r>
      <w:r w:rsidR="001B2C5F">
        <w:t>downloadvriendelijk en toegankelijk zijn.</w:t>
      </w:r>
    </w:p>
    <w:p w14:paraId="0CEDBBDE" w14:textId="4845E4FF" w:rsidR="00B44530" w:rsidRDefault="00B87DB6" w:rsidP="00196BD8">
      <w:pPr>
        <w:spacing w:line="276" w:lineRule="auto"/>
        <w:jc w:val="both"/>
      </w:pPr>
      <w:r>
        <w:t xml:space="preserve">In geval van offlineovereenkomsten kunnen de algemene voorwaarden ook online worden </w:t>
      </w:r>
      <w:r w:rsidR="00AB011B">
        <w:t>verstrekt</w:t>
      </w:r>
      <w:r>
        <w:t xml:space="preserve">. </w:t>
      </w:r>
      <w:r w:rsidR="001B2C5F">
        <w:t>Er dient dan</w:t>
      </w:r>
      <w:r w:rsidR="004E5701">
        <w:t xml:space="preserve"> sprake te zijn van uitdrukkelijke instemming </w:t>
      </w:r>
      <w:r w:rsidR="007F2A76">
        <w:t>door</w:t>
      </w:r>
      <w:r w:rsidR="004E5701">
        <w:t xml:space="preserve"> de wederpartij. </w:t>
      </w:r>
      <w:r w:rsidR="00CC1B2D">
        <w:t xml:space="preserve">Deze </w:t>
      </w:r>
      <w:r w:rsidR="000D1165">
        <w:t xml:space="preserve">uitdrukkelijke </w:t>
      </w:r>
      <w:r w:rsidR="00CC1B2D">
        <w:t xml:space="preserve">instemming </w:t>
      </w:r>
      <w:r w:rsidR="000D1165">
        <w:t xml:space="preserve">en het feit dat </w:t>
      </w:r>
      <w:r w:rsidR="00A72804">
        <w:t xml:space="preserve">de voorwaarden vóór het sluiten van de overeenkomst moeten worden overhandigd, </w:t>
      </w:r>
      <w:r w:rsidR="006B5053">
        <w:t xml:space="preserve">zorgen ervoor dat er alsnog altijd een papieren versie van de algemene voorwaarden beschikbaar moet zijn. </w:t>
      </w:r>
      <w:r w:rsidR="00CC1B2D">
        <w:t xml:space="preserve"> </w:t>
      </w:r>
      <w:r w:rsidR="006B5053">
        <w:t>In</w:t>
      </w:r>
      <w:r w:rsidR="00CC1B2D">
        <w:t xml:space="preserve"> de praktijk </w:t>
      </w:r>
      <w:r w:rsidR="006B5053">
        <w:t xml:space="preserve">zorgt dit </w:t>
      </w:r>
      <w:r w:rsidR="007F2A76">
        <w:t>ervoor dat</w:t>
      </w:r>
      <w:r w:rsidR="00CC1B2D">
        <w:t xml:space="preserve"> het onwaarschijnlijk is dat </w:t>
      </w:r>
      <w:r w:rsidR="006B5053">
        <w:t>van deze optie</w:t>
      </w:r>
      <w:r w:rsidR="00CC1B2D">
        <w:t xml:space="preserve"> veel gebruik van zal worden gemaakt.</w:t>
      </w:r>
      <w:r w:rsidR="006B5053">
        <w:t xml:space="preserve"> </w:t>
      </w:r>
    </w:p>
    <w:p w14:paraId="68E4A079" w14:textId="66E94F1C" w:rsidR="00ED21A0" w:rsidRDefault="00ED21A0" w:rsidP="00196BD8">
      <w:pPr>
        <w:spacing w:line="276" w:lineRule="auto"/>
        <w:jc w:val="both"/>
      </w:pPr>
      <w:r>
        <w:t>Samenvattend is art. 6:234 BW een bepaling die een aantal complicaties kent</w:t>
      </w:r>
      <w:r w:rsidR="00556877">
        <w:t>. De verwijzing naar 6:230c in lid 1 is onduidelijk; er is discussie over de reikwijdte van het artikel en lid 3 is in de praktijk geen praktische regeling</w:t>
      </w:r>
      <w:r w:rsidR="005E312F">
        <w:t>. Een herziening van dit artikel lijkt mij daarom zeker op zijn plaats.</w:t>
      </w:r>
    </w:p>
    <w:p w14:paraId="6750FC55" w14:textId="4D77DA21" w:rsidR="00694FB7" w:rsidRDefault="004145D2" w:rsidP="00196BD8">
      <w:pPr>
        <w:pStyle w:val="Kop1"/>
        <w:numPr>
          <w:ilvl w:val="0"/>
          <w:numId w:val="28"/>
        </w:numPr>
        <w:spacing w:line="276" w:lineRule="auto"/>
        <w:jc w:val="both"/>
      </w:pPr>
      <w:bookmarkStart w:id="14" w:name="_Toc182382069"/>
      <w:bookmarkStart w:id="15" w:name="_Toc186375506"/>
      <w:r>
        <w:t xml:space="preserve">Hoofdstuk </w:t>
      </w:r>
      <w:r w:rsidR="00D7353C">
        <w:t>3</w:t>
      </w:r>
      <w:r>
        <w:t xml:space="preserve"> – De </w:t>
      </w:r>
      <w:r w:rsidR="00694FB7">
        <w:t>regeling van art. 6:230c BW</w:t>
      </w:r>
      <w:bookmarkEnd w:id="14"/>
      <w:bookmarkEnd w:id="15"/>
    </w:p>
    <w:p w14:paraId="33AE2D8C" w14:textId="27C42385" w:rsidR="006B2D80" w:rsidRPr="006B2D80" w:rsidRDefault="00140AC1" w:rsidP="00196BD8">
      <w:pPr>
        <w:spacing w:line="276" w:lineRule="auto"/>
        <w:jc w:val="both"/>
      </w:pPr>
      <w:r>
        <w:t>A</w:t>
      </w:r>
      <w:r w:rsidR="00B50E9E">
        <w:t xml:space="preserve">fdeling 6.5.2a BW </w:t>
      </w:r>
      <w:r>
        <w:t>vormt de implementatie van de Dienstenrichtlijn voor de informatieplichten</w:t>
      </w:r>
      <w:r w:rsidR="00B50E9E">
        <w:t>.</w:t>
      </w:r>
      <w:r w:rsidR="00C24DD1">
        <w:t xml:space="preserve"> </w:t>
      </w:r>
      <w:r w:rsidR="00596A2D">
        <w:t>Op grond van</w:t>
      </w:r>
      <w:r w:rsidR="00653631">
        <w:t xml:space="preserve"> art.</w:t>
      </w:r>
      <w:r w:rsidR="0074215C">
        <w:t xml:space="preserve"> 6:230b BW </w:t>
      </w:r>
      <w:r w:rsidR="00596A2D">
        <w:t>heeft de dienstverrichter een informatieverplichting</w:t>
      </w:r>
      <w:r w:rsidR="003C78AC">
        <w:t xml:space="preserve"> </w:t>
      </w:r>
      <w:r w:rsidR="00FA3662">
        <w:t>onder andere de algemene voorwaarden toegankelijk te maken</w:t>
      </w:r>
      <w:r w:rsidR="00B50E9E">
        <w:t>.</w:t>
      </w:r>
      <w:r w:rsidR="00DD2E1F">
        <w:t xml:space="preserve"> </w:t>
      </w:r>
      <w:r w:rsidR="00653631">
        <w:t xml:space="preserve"> Art.</w:t>
      </w:r>
      <w:r w:rsidR="00B50E9E">
        <w:t xml:space="preserve"> 6:230c BW</w:t>
      </w:r>
      <w:r w:rsidR="006B2D80">
        <w:t xml:space="preserve"> </w:t>
      </w:r>
      <w:r w:rsidR="005D121D">
        <w:t>geeft de vier wijzen die volgens de dienstenrichtlijn geaccepteerd worden als een juiste terhandstelling</w:t>
      </w:r>
      <w:r w:rsidR="005072C8">
        <w:t xml:space="preserve">. </w:t>
      </w:r>
      <w:r w:rsidR="00003885">
        <w:t xml:space="preserve">Dit artikel zal met name in dit hoofdstuk worden besproken. </w:t>
      </w:r>
      <w:r w:rsidR="005072C8">
        <w:t xml:space="preserve">In de eerste paragraaf zal allereest de implementatie van de </w:t>
      </w:r>
      <w:r w:rsidR="00E66EC9">
        <w:t>D</w:t>
      </w:r>
      <w:r w:rsidR="005072C8">
        <w:t>ienstenrichtl</w:t>
      </w:r>
      <w:r w:rsidR="00B94838">
        <w:t>ijn</w:t>
      </w:r>
      <w:r w:rsidR="005072C8">
        <w:t xml:space="preserve"> worden behandeld</w:t>
      </w:r>
      <w:r w:rsidR="00315046">
        <w:t xml:space="preserve">. </w:t>
      </w:r>
      <w:r w:rsidR="000E5994">
        <w:t>Daarna zal uiteen worden gezet wat precies aangemerkt wordt als een ‘dienst’</w:t>
      </w:r>
      <w:r w:rsidR="00947DEF">
        <w:t xml:space="preserve"> en</w:t>
      </w:r>
      <w:r w:rsidR="000E5994">
        <w:t xml:space="preserve"> zullen de wijzen van informatieverstrekking van art. 6:230c BW afzonderlijk worden behandeld</w:t>
      </w:r>
      <w:r w:rsidR="00947DEF">
        <w:t xml:space="preserve"> in paragraaf 3.4. Tot slot wordt het hoofdstuk </w:t>
      </w:r>
      <w:r w:rsidR="00561A18">
        <w:t>afgesloten</w:t>
      </w:r>
      <w:r w:rsidR="00947DEF">
        <w:t xml:space="preserve"> met een tussenconclusie.</w:t>
      </w:r>
    </w:p>
    <w:p w14:paraId="193AE56A" w14:textId="4B47F8AB" w:rsidR="00694FB7" w:rsidRDefault="00B11C74" w:rsidP="00196BD8">
      <w:pPr>
        <w:pStyle w:val="Kop2"/>
        <w:numPr>
          <w:ilvl w:val="1"/>
          <w:numId w:val="28"/>
        </w:numPr>
        <w:spacing w:line="276" w:lineRule="auto"/>
        <w:jc w:val="both"/>
      </w:pPr>
      <w:bookmarkStart w:id="16" w:name="_Toc182382070"/>
      <w:bookmarkStart w:id="17" w:name="_Toc186375507"/>
      <w:r>
        <w:t>Het doel en de</w:t>
      </w:r>
      <w:r w:rsidR="00725455">
        <w:t xml:space="preserve"> implementatie van de </w:t>
      </w:r>
      <w:r w:rsidR="00D039B6">
        <w:t>Dienstenrichtlijn</w:t>
      </w:r>
      <w:bookmarkEnd w:id="16"/>
      <w:bookmarkEnd w:id="17"/>
    </w:p>
    <w:p w14:paraId="26B995E9" w14:textId="68B453A0" w:rsidR="00DF2B63" w:rsidRPr="00DF2B63" w:rsidRDefault="00A90331" w:rsidP="00196BD8">
      <w:pPr>
        <w:spacing w:line="276" w:lineRule="auto"/>
        <w:jc w:val="both"/>
      </w:pPr>
      <w:r>
        <w:t xml:space="preserve">Zoals eerder genoemd is het doel van de </w:t>
      </w:r>
      <w:r w:rsidR="002F11CF">
        <w:t>D</w:t>
      </w:r>
      <w:r>
        <w:t>ienstenrichtlijn</w:t>
      </w:r>
      <w:r w:rsidR="00745EC8">
        <w:t xml:space="preserve"> het </w:t>
      </w:r>
      <w:r w:rsidR="00D7454F">
        <w:t>bestaan van</w:t>
      </w:r>
      <w:r>
        <w:t xml:space="preserve"> </w:t>
      </w:r>
      <w:r w:rsidR="00732FE1">
        <w:t xml:space="preserve">een interne markt </w:t>
      </w:r>
      <w:r w:rsidR="007356DB">
        <w:t>zonder binnengrenzen</w:t>
      </w:r>
      <w:r w:rsidR="00D7454F">
        <w:t>.</w:t>
      </w:r>
      <w:r w:rsidR="00D7454F">
        <w:rPr>
          <w:rStyle w:val="Voetnootmarkering"/>
        </w:rPr>
        <w:footnoteReference w:id="51"/>
      </w:r>
      <w:r w:rsidR="007356DB">
        <w:t xml:space="preserve"> Dit wordt gepoogd door het zoveel mogelijk wegnemen van de </w:t>
      </w:r>
      <w:r w:rsidR="003D2534">
        <w:t>belemmeringen voor vrij verkeer van diensten</w:t>
      </w:r>
      <w:r w:rsidR="00D7454F">
        <w:rPr>
          <w:rStyle w:val="Voetnootmarkering"/>
        </w:rPr>
        <w:footnoteReference w:id="52"/>
      </w:r>
      <w:r w:rsidR="003D2534">
        <w:t xml:space="preserve">  en vrij verkeer van goederen.</w:t>
      </w:r>
      <w:r w:rsidR="00D7454F">
        <w:rPr>
          <w:rStyle w:val="Voetnootmarkering"/>
        </w:rPr>
        <w:footnoteReference w:id="53"/>
      </w:r>
      <w:r w:rsidR="00230724">
        <w:t xml:space="preserve"> De aanleiding </w:t>
      </w:r>
      <w:r w:rsidR="00DA4485">
        <w:t>voor het ontstaan van</w:t>
      </w:r>
      <w:r w:rsidR="00230724">
        <w:t xml:space="preserve"> de</w:t>
      </w:r>
      <w:r w:rsidR="004F69F5">
        <w:t xml:space="preserve"> </w:t>
      </w:r>
      <w:r w:rsidR="002F11CF">
        <w:t>D</w:t>
      </w:r>
      <w:r w:rsidR="004F69F5">
        <w:t xml:space="preserve">ienstenrichtlijn </w:t>
      </w:r>
      <w:r w:rsidR="00054374">
        <w:t xml:space="preserve">was het feit dat er nog belangrijke obstakels waren voor dienstverrichters om in andere lidstaten diensten te verrichten en voor afnemers om </w:t>
      </w:r>
      <w:r w:rsidR="00AB1ABB">
        <w:t xml:space="preserve">diensten uit andere lidstaten aan te nemen. Dit zorgde voor een belemmering van de economische groei </w:t>
      </w:r>
      <w:r w:rsidR="0059779B">
        <w:t>van lidstaten.</w:t>
      </w:r>
      <w:r w:rsidR="0042143F">
        <w:t xml:space="preserve"> Teneinde de kwaliteit en </w:t>
      </w:r>
      <w:r w:rsidR="00890741">
        <w:t>transparantie</w:t>
      </w:r>
      <w:r w:rsidR="0042143F">
        <w:t xml:space="preserve"> van de dienstverlening te vergroten zijn artikel 22 en artikel 27 opgenomen </w:t>
      </w:r>
      <w:r w:rsidR="0042143F">
        <w:lastRenderedPageBreak/>
        <w:t xml:space="preserve">in de </w:t>
      </w:r>
      <w:r w:rsidR="002F11CF">
        <w:t>D</w:t>
      </w:r>
      <w:r w:rsidR="0042143F">
        <w:t xml:space="preserve">ienstenrichtlijn. </w:t>
      </w:r>
      <w:r w:rsidR="00415DD2">
        <w:t xml:space="preserve">Deze bepalingen zijn vervolgens omgezet in ons nationaal recht in </w:t>
      </w:r>
      <w:r w:rsidR="00E82E5E">
        <w:t>afdeling 6.5.2a BW.</w:t>
      </w:r>
      <w:r w:rsidR="00005029">
        <w:rPr>
          <w:rStyle w:val="Voetnootmarkering"/>
        </w:rPr>
        <w:footnoteReference w:id="54"/>
      </w:r>
      <w:r w:rsidR="00AB1ABB">
        <w:t xml:space="preserve"> </w:t>
      </w:r>
    </w:p>
    <w:p w14:paraId="529D4E29" w14:textId="72219DDC" w:rsidR="009E5563" w:rsidRDefault="005E27BF" w:rsidP="00196BD8">
      <w:pPr>
        <w:spacing w:line="276" w:lineRule="auto"/>
        <w:jc w:val="both"/>
      </w:pPr>
      <w:r>
        <w:t xml:space="preserve">Met de toevoeging van de Dienstenrichtlijn en afdeling 6.5.2a BW is het onderscheid tussen art 6:230c BW en art. 6:234 BW ontstaan. </w:t>
      </w:r>
      <w:r w:rsidR="00F95352">
        <w:t xml:space="preserve">Waarom </w:t>
      </w:r>
      <w:r w:rsidR="00EE6EE3">
        <w:t>dit onderscheid er is, is echter tot op heden onduidelijk.</w:t>
      </w:r>
      <w:r w:rsidR="009C181C">
        <w:t xml:space="preserve"> </w:t>
      </w:r>
      <w:r w:rsidR="0022392B">
        <w:t>Hier</w:t>
      </w:r>
      <w:r w:rsidR="009C181C">
        <w:t xml:space="preserve"> word</w:t>
      </w:r>
      <w:r w:rsidR="00D75132">
        <w:t xml:space="preserve">t in de </w:t>
      </w:r>
      <w:r w:rsidR="00121FC8">
        <w:t>M</w:t>
      </w:r>
      <w:r w:rsidR="00A1556C">
        <w:t xml:space="preserve">emorie </w:t>
      </w:r>
      <w:r w:rsidR="000530D7">
        <w:t>toelichting</w:t>
      </w:r>
      <w:r w:rsidR="00D75132">
        <w:t xml:space="preserve"> </w:t>
      </w:r>
      <w:r w:rsidR="000530D7">
        <w:t xml:space="preserve">van </w:t>
      </w:r>
      <w:r w:rsidR="00D75132">
        <w:t xml:space="preserve">de </w:t>
      </w:r>
      <w:r w:rsidR="002F11CF">
        <w:t>D</w:t>
      </w:r>
      <w:r w:rsidR="00D75132">
        <w:t xml:space="preserve">ienstenrichtlijn geen </w:t>
      </w:r>
      <w:r w:rsidR="000530D7">
        <w:t>(</w:t>
      </w:r>
      <w:r w:rsidR="00D75132">
        <w:t>duidelijk</w:t>
      </w:r>
      <w:r w:rsidR="000530D7">
        <w:t>)</w:t>
      </w:r>
      <w:r w:rsidR="00D75132">
        <w:t xml:space="preserve"> antwoord op gegeven.</w:t>
      </w:r>
      <w:r w:rsidR="00570DCE">
        <w:rPr>
          <w:rStyle w:val="Voetnootmarkering"/>
        </w:rPr>
        <w:footnoteReference w:id="55"/>
      </w:r>
      <w:r w:rsidR="00D75132">
        <w:t xml:space="preserve"> </w:t>
      </w:r>
      <w:r w:rsidR="00230F6F">
        <w:t xml:space="preserve"> </w:t>
      </w:r>
      <w:r w:rsidR="00D75132">
        <w:t xml:space="preserve">Mijns inziens heeft </w:t>
      </w:r>
      <w:r w:rsidR="004B635A">
        <w:t>de wetgever de informatieplicht voor dienstverrichters willen versoepelen</w:t>
      </w:r>
      <w:r w:rsidR="00D75132">
        <w:t xml:space="preserve"> </w:t>
      </w:r>
      <w:r w:rsidR="004B635A">
        <w:t>in verband met</w:t>
      </w:r>
      <w:r w:rsidR="00D75132">
        <w:t xml:space="preserve"> het doel van de </w:t>
      </w:r>
      <w:r w:rsidR="002F11CF">
        <w:t>D</w:t>
      </w:r>
      <w:r w:rsidR="00D75132">
        <w:t>ienstenrichtlijn</w:t>
      </w:r>
      <w:r w:rsidR="00837089">
        <w:t xml:space="preserve">; </w:t>
      </w:r>
      <w:r w:rsidR="00901256">
        <w:t xml:space="preserve">De lidstaten voorzien van zo weinig mogelijk </w:t>
      </w:r>
      <w:r w:rsidR="0022392B">
        <w:t>blokkades</w:t>
      </w:r>
      <w:r w:rsidR="007E7963">
        <w:t xml:space="preserve"> voor de interne</w:t>
      </w:r>
      <w:r w:rsidR="00BF28DF">
        <w:t xml:space="preserve"> markthandel</w:t>
      </w:r>
      <w:r w:rsidR="007E7963">
        <w:t xml:space="preserve">. Door de regels </w:t>
      </w:r>
      <w:r w:rsidR="007C0438">
        <w:t>met betrekking tot</w:t>
      </w:r>
      <w:r w:rsidR="007E7963">
        <w:t xml:space="preserve"> dienstverleners te versoepelen</w:t>
      </w:r>
      <w:r w:rsidR="00C37E60">
        <w:t>, is er voor gebruikers van de algemene v</w:t>
      </w:r>
      <w:r w:rsidR="00D764BD">
        <w:t>o</w:t>
      </w:r>
      <w:r w:rsidR="00C37E60">
        <w:t>orw</w:t>
      </w:r>
      <w:r w:rsidR="00D764BD">
        <w:t>a</w:t>
      </w:r>
      <w:r w:rsidR="00C37E60">
        <w:t xml:space="preserve">arden ook makkelijker voldaan aan de stelplicht en bewijslast op dit gebied. </w:t>
      </w:r>
      <w:r w:rsidR="005E592B">
        <w:t xml:space="preserve">Er zijn </w:t>
      </w:r>
      <w:r w:rsidR="00193504">
        <w:t>immers minder</w:t>
      </w:r>
      <w:r w:rsidR="005E592B">
        <w:t xml:space="preserve"> strikte vereisten waar de dienstverlener aan moet voldoen</w:t>
      </w:r>
      <w:r w:rsidR="00193504">
        <w:t>, w</w:t>
      </w:r>
      <w:r w:rsidR="005E592B">
        <w:t xml:space="preserve">aardoor het makkelijker is om te bewijzen dat de algemene voorwaarden op de juiste wijze ter hand zijn gesteld. </w:t>
      </w:r>
      <w:r w:rsidR="006B6FF9">
        <w:t xml:space="preserve">Deze beredenering zou echter ook weer tegenstrijdig zijn. </w:t>
      </w:r>
      <w:r w:rsidR="008301A5">
        <w:t>Vanuit het interne markt-oogpunt is het juist gewenst dat alle ondernemers, dus ook degene</w:t>
      </w:r>
      <w:r w:rsidR="00D5280B">
        <w:t>n</w:t>
      </w:r>
      <w:r w:rsidR="008301A5">
        <w:t xml:space="preserve"> die vallen onder art. 6:234 BW, </w:t>
      </w:r>
      <w:r w:rsidR="00583AD0">
        <w:t xml:space="preserve">gemakkelijk grensoverschrijdende overeenkomsten kunnen verrichten en niet alleen </w:t>
      </w:r>
      <w:r w:rsidR="00B734DE">
        <w:t>dienstverrichters</w:t>
      </w:r>
      <w:r w:rsidR="00583AD0">
        <w:t xml:space="preserve">. </w:t>
      </w:r>
    </w:p>
    <w:p w14:paraId="769BF8FA" w14:textId="25949383" w:rsidR="00046196" w:rsidRDefault="003E3B08" w:rsidP="00196BD8">
      <w:pPr>
        <w:spacing w:line="276" w:lineRule="auto"/>
        <w:jc w:val="both"/>
      </w:pPr>
      <w:r>
        <w:t xml:space="preserve">Daarnaast </w:t>
      </w:r>
      <w:r w:rsidR="00A65216">
        <w:t xml:space="preserve">bepaalt </w:t>
      </w:r>
      <w:r w:rsidR="00A2093C">
        <w:t xml:space="preserve">art. 22 </w:t>
      </w:r>
      <w:r w:rsidR="009F5B88">
        <w:t xml:space="preserve">lid 5 Dienstenrichtlijn </w:t>
      </w:r>
      <w:r w:rsidR="0096454B">
        <w:t xml:space="preserve">dat </w:t>
      </w:r>
      <w:r w:rsidR="00046196">
        <w:t xml:space="preserve">de informatie-eisen genoemd in de richtlijn een aanvulling zijn op het al bestaande </w:t>
      </w:r>
      <w:r w:rsidR="00EC7A8E">
        <w:t>nationale recht</w:t>
      </w:r>
      <w:r w:rsidR="00046196">
        <w:t xml:space="preserve">. Het is voor een lidstaat </w:t>
      </w:r>
      <w:r w:rsidR="00697C2F">
        <w:t>d</w:t>
      </w:r>
      <w:r w:rsidR="00046196">
        <w:t xml:space="preserve">an ook toegestaan om </w:t>
      </w:r>
      <w:r w:rsidR="006D280F">
        <w:t xml:space="preserve">aanvullende (strengere) </w:t>
      </w:r>
      <w:r w:rsidR="00AD743C">
        <w:t>informatie-</w:t>
      </w:r>
      <w:r w:rsidR="006D280F">
        <w:t>vereisten</w:t>
      </w:r>
      <w:r w:rsidR="00AD743C">
        <w:t xml:space="preserve"> op te leggen. </w:t>
      </w:r>
      <w:r w:rsidR="00AD7C7C">
        <w:t xml:space="preserve"> </w:t>
      </w:r>
      <w:r w:rsidR="00EC7A8E">
        <w:t>De</w:t>
      </w:r>
      <w:r w:rsidR="00AD7C7C">
        <w:t xml:space="preserve"> </w:t>
      </w:r>
      <w:r w:rsidR="002F11CF">
        <w:t>D</w:t>
      </w:r>
      <w:r w:rsidR="00AD7C7C">
        <w:t>ienstenrichtlijn vereist</w:t>
      </w:r>
      <w:r w:rsidR="00EC7A8E">
        <w:t xml:space="preserve"> niet</w:t>
      </w:r>
      <w:r w:rsidR="00AD7C7C">
        <w:t xml:space="preserve"> dat er een nieuwe regeling werd gemaakt die </w:t>
      </w:r>
      <w:r w:rsidR="00992EE7">
        <w:t>specifiek geldt voor</w:t>
      </w:r>
      <w:r w:rsidR="00AD7C7C">
        <w:t xml:space="preserve"> de </w:t>
      </w:r>
      <w:r w:rsidR="00992EE7">
        <w:t>dienstverrichters</w:t>
      </w:r>
      <w:r w:rsidR="006C63E7">
        <w:t>.</w:t>
      </w:r>
      <w:r w:rsidR="0074031E">
        <w:t xml:space="preserve"> De wetgever had ook aansluiting kunnen zoeken bij het al bestaande art. 6:234 BW om zo een </w:t>
      </w:r>
      <w:r w:rsidR="00DA7E3B">
        <w:t>uniforme</w:t>
      </w:r>
      <w:r w:rsidR="0074031E">
        <w:t xml:space="preserve"> regeling voor alle gebruikers te hebben.</w:t>
      </w:r>
      <w:r w:rsidR="006C63E7">
        <w:t xml:space="preserve"> De </w:t>
      </w:r>
      <w:r w:rsidR="00183D18">
        <w:t>eisen in de Dienstenrichtlijn zijn</w:t>
      </w:r>
      <w:r w:rsidR="008C3B69">
        <w:t xml:space="preserve"> in mijn optiek </w:t>
      </w:r>
      <w:r w:rsidR="00183D18">
        <w:t>direct geïmplementeerd om zo</w:t>
      </w:r>
      <w:r w:rsidR="0025071E">
        <w:t xml:space="preserve"> eenvoudig</w:t>
      </w:r>
      <w:r w:rsidR="00183D18">
        <w:t xml:space="preserve"> een nieuwe regeling te maken voor dienstverrichters en de al bestaande bepaling is bestaand gebleven voor de overige (normale) gebruikers. </w:t>
      </w:r>
    </w:p>
    <w:p w14:paraId="5EC35A4A" w14:textId="35AD11BC" w:rsidR="0035020F" w:rsidRDefault="0035020F" w:rsidP="00196BD8">
      <w:pPr>
        <w:spacing w:line="276" w:lineRule="auto"/>
        <w:jc w:val="both"/>
      </w:pPr>
      <w:r>
        <w:t xml:space="preserve">Aangezien het onderscheid dat gemaakt </w:t>
      </w:r>
      <w:r w:rsidR="005411B2">
        <w:t xml:space="preserve">wordt geen doel dient is dit onderscheid mijns inziens onrechtvaardig en onnodig. </w:t>
      </w:r>
      <w:r w:rsidR="00E24B7B">
        <w:t xml:space="preserve">Niet-dienstverrichters worden belast met extra vereisten, terwijl hier geen rechtvaardiging voor is gegeven. </w:t>
      </w:r>
      <w:r w:rsidR="00650C4A">
        <w:t xml:space="preserve">Een </w:t>
      </w:r>
      <w:r w:rsidR="00B42E9C">
        <w:t>verklaring of toelichting is er in dit geval echter niet.</w:t>
      </w:r>
      <w:r w:rsidR="00A24954">
        <w:t xml:space="preserve"> </w:t>
      </w:r>
    </w:p>
    <w:p w14:paraId="055C922A" w14:textId="21E50011" w:rsidR="00B56EE7" w:rsidRDefault="007F6BCE" w:rsidP="00196BD8">
      <w:pPr>
        <w:pStyle w:val="Kop2"/>
        <w:numPr>
          <w:ilvl w:val="1"/>
          <w:numId w:val="28"/>
        </w:numPr>
        <w:spacing w:line="276" w:lineRule="auto"/>
        <w:jc w:val="both"/>
      </w:pPr>
      <w:bookmarkStart w:id="18" w:name="_Toc182382071"/>
      <w:bookmarkStart w:id="19" w:name="_Toc186375508"/>
      <w:r>
        <w:t>Wat</w:t>
      </w:r>
      <w:r w:rsidR="00B56EE7">
        <w:t xml:space="preserve"> </w:t>
      </w:r>
      <w:r w:rsidR="000C586C">
        <w:t>is een</w:t>
      </w:r>
      <w:r w:rsidR="00B56EE7">
        <w:t xml:space="preserve"> dienst</w:t>
      </w:r>
      <w:r w:rsidR="000C586C">
        <w:t>(</w:t>
      </w:r>
      <w:r w:rsidR="00B56EE7">
        <w:t>verrichter</w:t>
      </w:r>
      <w:r w:rsidR="000C586C">
        <w:t>)</w:t>
      </w:r>
      <w:r w:rsidR="00B56EE7">
        <w:t>?</w:t>
      </w:r>
      <w:bookmarkEnd w:id="18"/>
      <w:bookmarkEnd w:id="19"/>
      <w:r w:rsidR="00B56EE7">
        <w:t xml:space="preserve"> </w:t>
      </w:r>
    </w:p>
    <w:p w14:paraId="6BAE05A5" w14:textId="40D62433" w:rsidR="00494611" w:rsidRDefault="00CA20D6" w:rsidP="00196BD8">
      <w:pPr>
        <w:spacing w:line="276" w:lineRule="auto"/>
        <w:jc w:val="both"/>
      </w:pPr>
      <w:r>
        <w:t>O</w:t>
      </w:r>
      <w:r w:rsidR="009E500C">
        <w:t>p 2</w:t>
      </w:r>
      <w:r w:rsidR="00494611">
        <w:t xml:space="preserve"> juni 2023 </w:t>
      </w:r>
      <w:r>
        <w:t xml:space="preserve">heeft de </w:t>
      </w:r>
      <w:r w:rsidR="00556877">
        <w:t>Hoge</w:t>
      </w:r>
      <w:r>
        <w:t xml:space="preserve"> </w:t>
      </w:r>
      <w:r w:rsidR="00556877">
        <w:t>R</w:t>
      </w:r>
      <w:r>
        <w:t xml:space="preserve">aad </w:t>
      </w:r>
      <w:r w:rsidR="00494611">
        <w:t>een belangrijke uitspraak gedaan omtrent het begrip Dienst(verrichter).</w:t>
      </w:r>
      <w:r w:rsidR="009E500C">
        <w:rPr>
          <w:rStyle w:val="Voetnootmarkering"/>
        </w:rPr>
        <w:footnoteReference w:id="56"/>
      </w:r>
      <w:r w:rsidR="00494611">
        <w:t xml:space="preserve"> </w:t>
      </w:r>
      <w:r w:rsidR="00C95F10">
        <w:t xml:space="preserve">Deze zaak gaat over een </w:t>
      </w:r>
      <w:r w:rsidR="007A5B6D">
        <w:t>conflict</w:t>
      </w:r>
      <w:r w:rsidR="00C95F10">
        <w:t xml:space="preserve"> tussen een groothandel en een ondernemer. </w:t>
      </w:r>
      <w:r w:rsidR="00970CD7">
        <w:t xml:space="preserve">Tussen deze partijen bestaat een zakelijke relatie, op grond waarvan de groothandel vlees levert aan de ondernemer. </w:t>
      </w:r>
      <w:r w:rsidR="006F5760">
        <w:t xml:space="preserve">Er ontstaat een geschil over de betaling. In cassatie spitst </w:t>
      </w:r>
      <w:r w:rsidR="005F57DA">
        <w:t xml:space="preserve">het geschil zich toe op de vraag of een groothandel een dienstverrichter is. </w:t>
      </w:r>
      <w:r w:rsidR="00152BD4">
        <w:lastRenderedPageBreak/>
        <w:t>Het arrest begint met een uiteenzetting van het begrip ‘dienst’ volgens de Dienstenrichtlijn</w:t>
      </w:r>
      <w:r w:rsidR="00E43391">
        <w:t xml:space="preserve">: </w:t>
      </w:r>
      <w:r w:rsidR="0098281B">
        <w:t>“</w:t>
      </w:r>
      <w:r w:rsidR="0098281B" w:rsidRPr="0098281B">
        <w:rPr>
          <w:i/>
          <w:iCs/>
        </w:rPr>
        <w:t>Een dienst is een economische activiteit, anders dan in loondienst, die gewoonlijk tegen vergoeding geschiedt, als bedoeld in art. 50 EG-verdrag, thans art. 57 VWEU (art. 6:230a BW en art. 4, aanhef en onder 1, Dienstenrichtlijn)</w:t>
      </w:r>
      <w:r w:rsidR="0098281B" w:rsidRPr="0098281B">
        <w:t>.</w:t>
      </w:r>
      <w:r w:rsidR="0098281B">
        <w:t>”</w:t>
      </w:r>
      <w:r w:rsidR="0098281B">
        <w:rPr>
          <w:rStyle w:val="Voetnootmarkering"/>
        </w:rPr>
        <w:footnoteReference w:id="57"/>
      </w:r>
      <w:r w:rsidR="00A75BC8">
        <w:t xml:space="preserve"> Denk hierbij aan een schilder, kapper of architect bijvoorbeeld.</w:t>
      </w:r>
    </w:p>
    <w:p w14:paraId="21ABB249" w14:textId="0E35EFE8" w:rsidR="00B8499E" w:rsidRDefault="00820E89" w:rsidP="00196BD8">
      <w:pPr>
        <w:spacing w:line="276" w:lineRule="auto"/>
        <w:jc w:val="both"/>
      </w:pPr>
      <w:r>
        <w:t xml:space="preserve">Art. 6:230a BW </w:t>
      </w:r>
      <w:r w:rsidR="00D90AE8">
        <w:t>hanteert dezelfde definitie van een dienst</w:t>
      </w:r>
      <w:r w:rsidR="00940D29">
        <w:t xml:space="preserve">. </w:t>
      </w:r>
      <w:r w:rsidR="008C2F98">
        <w:t>Art. 6:230a BW</w:t>
      </w:r>
      <w:r w:rsidR="00012FDC">
        <w:t xml:space="preserve"> is een implementatie van art. 4</w:t>
      </w:r>
      <w:r w:rsidR="00BE2A75">
        <w:t xml:space="preserve"> sub 1 Dienstenrichtlijn, waarin de definitie is overgenomen van, thans, art. 57 VWEU.</w:t>
      </w:r>
      <w:r w:rsidR="008039DA">
        <w:t xml:space="preserve"> Dat artikel bepaalt verder dat dienstverlening als dienst wordt beschouwd</w:t>
      </w:r>
      <w:r w:rsidR="00423B86">
        <w:t xml:space="preserve">, ‘voor zover de bepalingen, betreffende het vrije verkeer van goederen, kapitaal en personen op deze dienstverlening niet van toepassing </w:t>
      </w:r>
      <w:r w:rsidR="00C76E36">
        <w:t>zijn</w:t>
      </w:r>
      <w:r w:rsidR="00423B86">
        <w:t xml:space="preserve">. </w:t>
      </w:r>
      <w:r w:rsidR="004A1D8C">
        <w:t>Alles wat dus niet onder de andere vrijheden valt kan aangemerkt worden als een dienst.</w:t>
      </w:r>
      <w:r w:rsidR="004A1D8C">
        <w:rPr>
          <w:rStyle w:val="Voetnootmarkering"/>
        </w:rPr>
        <w:footnoteReference w:id="58"/>
      </w:r>
      <w:r w:rsidR="00B8499E">
        <w:t xml:space="preserve"> </w:t>
      </w:r>
      <w:r w:rsidR="00D639CB">
        <w:t>Verder bepalen de inleidende overwegingen van de Dienstenrichtlijn dat de Dienstenrichtlijn een algemeen rechtskader biedt voor een groot aantal diensten. Dit zijn diverse en voortdurend veranderende activiteiten</w:t>
      </w:r>
      <w:r w:rsidR="001E0E68">
        <w:t>. P</w:t>
      </w:r>
      <w:r w:rsidR="00D639CB">
        <w:t xml:space="preserve">er activiteit moet aan de hand van de kenmerken van die activiteit worden bepaald of </w:t>
      </w:r>
      <w:r w:rsidR="008772ED">
        <w:t>de activiteit</w:t>
      </w:r>
      <w:r w:rsidR="00D639CB">
        <w:t xml:space="preserve"> valt aan te merken als een dienst</w:t>
      </w:r>
      <w:r w:rsidR="00891442">
        <w:t xml:space="preserve">. Hierbij wordt </w:t>
      </w:r>
      <w:r w:rsidR="001E0E68">
        <w:t xml:space="preserve">met name </w:t>
      </w:r>
      <w:r w:rsidR="00891442">
        <w:t>gekeken naar de</w:t>
      </w:r>
      <w:r w:rsidR="001E0E68">
        <w:t xml:space="preserve"> manier waarop </w:t>
      </w:r>
      <w:r w:rsidR="00891442">
        <w:t>de activiteit</w:t>
      </w:r>
      <w:r w:rsidR="001E0E68">
        <w:t xml:space="preserve"> in een lidstaat worden </w:t>
      </w:r>
      <w:r w:rsidR="00C973CB">
        <w:t>gefinancierd</w:t>
      </w:r>
      <w:r w:rsidR="001E0E68">
        <w:t xml:space="preserve">, verricht en </w:t>
      </w:r>
      <w:r w:rsidR="00C973CB">
        <w:t>georganiseerd</w:t>
      </w:r>
      <w:r w:rsidR="00D639CB">
        <w:t>.</w:t>
      </w:r>
      <w:r w:rsidR="00D639CB">
        <w:rPr>
          <w:rStyle w:val="Voetnootmarkering"/>
        </w:rPr>
        <w:footnoteReference w:id="59"/>
      </w:r>
      <w:r w:rsidR="00D639CB">
        <w:t xml:space="preserve"> </w:t>
      </w:r>
      <w:r w:rsidR="001C5336">
        <w:t>Wel</w:t>
      </w:r>
      <w:r w:rsidR="00B8499E">
        <w:t xml:space="preserve"> kent het begrip dienst tal van uitzonderingen genoemd in art. 2 lid 2 Dienstenrichtlijn.</w:t>
      </w:r>
      <w:r w:rsidR="000E5C61">
        <w:t xml:space="preserve"> Denk hierbij aan </w:t>
      </w:r>
      <w:r w:rsidR="001079EC">
        <w:t>financiële diensten, diensten in de gezondheidszorg, diensten in het belang van openbaar gezag etc.</w:t>
      </w:r>
      <w:r w:rsidR="00B8499E">
        <w:t xml:space="preserve"> Deze zijn niet overgenomen in art. </w:t>
      </w:r>
      <w:r w:rsidR="000E5C61">
        <w:t>6:</w:t>
      </w:r>
      <w:r w:rsidR="00B8499E">
        <w:t>230a BW</w:t>
      </w:r>
      <w:r w:rsidR="009C1D84">
        <w:t xml:space="preserve"> of elders in afdeling 6.5.2a BW</w:t>
      </w:r>
      <w:r w:rsidR="00B8499E">
        <w:t>.</w:t>
      </w:r>
      <w:r w:rsidR="0061075D">
        <w:t xml:space="preserve"> Een </w:t>
      </w:r>
      <w:r w:rsidR="009C1D84">
        <w:t xml:space="preserve">communautaire </w:t>
      </w:r>
      <w:r w:rsidR="005C709B">
        <w:t xml:space="preserve">toepassing van de dienstenrichtlijn en een </w:t>
      </w:r>
      <w:r w:rsidR="0061075D">
        <w:t xml:space="preserve">richtlijnconforme </w:t>
      </w:r>
      <w:r w:rsidR="005C709B">
        <w:t>uitleg</w:t>
      </w:r>
      <w:r w:rsidR="0061075D">
        <w:t xml:space="preserve"> </w:t>
      </w:r>
      <w:r w:rsidR="005C709B">
        <w:t>brengen</w:t>
      </w:r>
      <w:r w:rsidR="0061075D">
        <w:t xml:space="preserve"> </w:t>
      </w:r>
      <w:r w:rsidR="009C1D84">
        <w:t xml:space="preserve">echter </w:t>
      </w:r>
      <w:r w:rsidR="0061075D">
        <w:t>mee dat dez</w:t>
      </w:r>
      <w:r w:rsidR="00882ADE">
        <w:t>e uitzonderingen ook voor afdeling 6.5.2a BW gelden.</w:t>
      </w:r>
      <w:r w:rsidR="00CC3B73">
        <w:rPr>
          <w:rStyle w:val="Voetnootmarkering"/>
        </w:rPr>
        <w:footnoteReference w:id="60"/>
      </w:r>
      <w:r w:rsidR="002E1580">
        <w:t xml:space="preserve"> </w:t>
      </w:r>
    </w:p>
    <w:p w14:paraId="294177CC" w14:textId="4D530EB6" w:rsidR="00924AB2" w:rsidRDefault="00D146E0" w:rsidP="00196BD8">
      <w:pPr>
        <w:spacing w:line="276" w:lineRule="auto"/>
        <w:jc w:val="both"/>
      </w:pPr>
      <w:r>
        <w:t xml:space="preserve">Een </w:t>
      </w:r>
      <w:r w:rsidR="00B05427">
        <w:t>belangrijk</w:t>
      </w:r>
      <w:r>
        <w:t xml:space="preserve"> </w:t>
      </w:r>
      <w:r w:rsidR="0023224A">
        <w:t xml:space="preserve">discussiepunt in de literatuur dat lange tijd speelde was of </w:t>
      </w:r>
      <w:r w:rsidR="00EA4A40">
        <w:t>detailhandel ook onder het begrip ‘dienst’ viel.</w:t>
      </w:r>
      <w:r w:rsidR="00CC03E8">
        <w:t xml:space="preserve"> Zo ja, dan zou dat immers betekenen dat een groot deel van de dagelijkse transacties onder </w:t>
      </w:r>
      <w:r w:rsidR="00C551DF">
        <w:t xml:space="preserve">de dienstenrichtlijn </w:t>
      </w:r>
      <w:r w:rsidR="00CC03E8">
        <w:t>valt.</w:t>
      </w:r>
      <w:r w:rsidR="00EA4A40">
        <w:t xml:space="preserve"> </w:t>
      </w:r>
      <w:r w:rsidR="00D11604">
        <w:t>D</w:t>
      </w:r>
      <w:r w:rsidR="00041A71">
        <w:t xml:space="preserve">e </w:t>
      </w:r>
      <w:r w:rsidR="00FF7BA6">
        <w:t>Nederlandse regering</w:t>
      </w:r>
      <w:r w:rsidR="00041A71">
        <w:t xml:space="preserve"> </w:t>
      </w:r>
      <w:r w:rsidR="00A868F6">
        <w:t xml:space="preserve">voerde </w:t>
      </w:r>
      <w:r w:rsidR="00041A71">
        <w:t xml:space="preserve">aan </w:t>
      </w:r>
      <w:r w:rsidR="00945EDF">
        <w:t xml:space="preserve">dat de </w:t>
      </w:r>
      <w:r w:rsidR="005B4201">
        <w:t>detailhandel</w:t>
      </w:r>
      <w:r w:rsidR="00945EDF">
        <w:t xml:space="preserve"> vrij verkeer van goederen betreft (art. 28 VWEU)</w:t>
      </w:r>
      <w:r w:rsidR="00032F4C">
        <w:t>. Een dienst is complementair aan een goed</w:t>
      </w:r>
      <w:r w:rsidR="00443185">
        <w:t xml:space="preserve">, zodat de verkoop van waren niet als </w:t>
      </w:r>
      <w:r w:rsidR="00A2174A">
        <w:t>dienst</w:t>
      </w:r>
      <w:r w:rsidR="00443185">
        <w:t xml:space="preserve"> is aan te merken en</w:t>
      </w:r>
      <w:r w:rsidR="00905810">
        <w:t xml:space="preserve"> </w:t>
      </w:r>
      <w:r w:rsidR="00443185">
        <w:t xml:space="preserve">daarmee </w:t>
      </w:r>
      <w:r w:rsidR="00440040">
        <w:t xml:space="preserve">is </w:t>
      </w:r>
      <w:r w:rsidR="00443185">
        <w:t>de Dienstenrichtlijn ook niet van toepassing is</w:t>
      </w:r>
      <w:r w:rsidR="00733F19">
        <w:t>.</w:t>
      </w:r>
      <w:r w:rsidR="00443185">
        <w:rPr>
          <w:rStyle w:val="Voetnootmarkering"/>
        </w:rPr>
        <w:footnoteReference w:id="61"/>
      </w:r>
      <w:r w:rsidR="00733F19">
        <w:t xml:space="preserve"> </w:t>
      </w:r>
      <w:r w:rsidR="008A2B19">
        <w:t>Ook heeft de Raad van State meermaals uitgesproken dat</w:t>
      </w:r>
      <w:r w:rsidR="00D41A87">
        <w:t xml:space="preserve"> detailhandel geen dienst is.</w:t>
      </w:r>
      <w:r w:rsidR="00D41A87">
        <w:rPr>
          <w:rStyle w:val="Voetnootmarkering"/>
        </w:rPr>
        <w:footnoteReference w:id="62"/>
      </w:r>
      <w:r w:rsidR="00D41A87">
        <w:t xml:space="preserve"> </w:t>
      </w:r>
      <w:r w:rsidR="009E2B48">
        <w:t xml:space="preserve"> </w:t>
      </w:r>
      <w:r w:rsidR="00191D4C">
        <w:t>Daarentegen</w:t>
      </w:r>
      <w:r w:rsidR="009E2B48">
        <w:t xml:space="preserve"> kant heeft de Europese Commissie </w:t>
      </w:r>
      <w:r w:rsidR="00D8436F">
        <w:t>in haar Handboek</w:t>
      </w:r>
      <w:r w:rsidR="00D83BC1">
        <w:t xml:space="preserve"> </w:t>
      </w:r>
      <w:r w:rsidR="00107A66">
        <w:t>over</w:t>
      </w:r>
      <w:r w:rsidR="00D8436F">
        <w:t xml:space="preserve"> de</w:t>
      </w:r>
      <w:r w:rsidR="009B639B">
        <w:t xml:space="preserve"> implementatie van de</w:t>
      </w:r>
      <w:r w:rsidR="00D8436F">
        <w:t xml:space="preserve"> </w:t>
      </w:r>
      <w:r w:rsidR="009B639B">
        <w:t>D</w:t>
      </w:r>
      <w:r w:rsidR="00D8436F">
        <w:t>ienstenrichtlijn opgemerkt dat detailhandel wel binnen de Dienstenrichtlijn valt.</w:t>
      </w:r>
      <w:r w:rsidR="00107A66">
        <w:t xml:space="preserve"> </w:t>
      </w:r>
      <w:r w:rsidR="004550FA">
        <w:t xml:space="preserve">Het handboek geeft daarnaast een niet limitatieve opsomming van al hetgeen </w:t>
      </w:r>
      <w:r w:rsidR="00787034">
        <w:t>dat</w:t>
      </w:r>
      <w:r w:rsidR="004550FA">
        <w:t xml:space="preserve"> onder een dienst valt.</w:t>
      </w:r>
      <w:r w:rsidR="00CF0E5C">
        <w:t xml:space="preserve"> Deze opsomming bevat het </w:t>
      </w:r>
      <w:r w:rsidR="00250555">
        <w:t>merendeel</w:t>
      </w:r>
      <w:r w:rsidR="00CF0E5C">
        <w:t xml:space="preserve"> van </w:t>
      </w:r>
      <w:r w:rsidR="00733E35">
        <w:t>alle</w:t>
      </w:r>
      <w:r w:rsidR="00CF0E5C">
        <w:t xml:space="preserve"> economische activiteiten</w:t>
      </w:r>
      <w:r w:rsidR="00250555">
        <w:t xml:space="preserve">, waardoor het erop lijkt te wijzen dat slechts de uitzonderingen genoemd in art. 2 lid 2 </w:t>
      </w:r>
      <w:r w:rsidR="00250555">
        <w:lastRenderedPageBreak/>
        <w:t xml:space="preserve">Dienstenrichtlijn niet onder </w:t>
      </w:r>
      <w:r w:rsidR="00733E35">
        <w:t xml:space="preserve">de dienstenrichtlijn </w:t>
      </w:r>
      <w:r w:rsidR="00250555">
        <w:t>vallen.</w:t>
      </w:r>
      <w:r w:rsidR="00552666">
        <w:rPr>
          <w:rStyle w:val="Voetnootmarkering"/>
        </w:rPr>
        <w:footnoteReference w:id="63"/>
      </w:r>
      <w:r w:rsidR="006D3040">
        <w:t xml:space="preserve"> </w:t>
      </w:r>
      <w:r w:rsidR="004550FA">
        <w:t xml:space="preserve"> </w:t>
      </w:r>
      <w:r w:rsidR="00FA3ECA">
        <w:t>Belangrijk om hierbij op te merken is wel dat de richtsnoeren</w:t>
      </w:r>
      <w:r w:rsidR="00C9138C">
        <w:t xml:space="preserve"> die dit handboek geeft</w:t>
      </w:r>
      <w:r w:rsidR="00FA3ECA">
        <w:t xml:space="preserve"> slechts begeleiding bieden aan de lidstaten en ze kunnen geen afbreuk doen</w:t>
      </w:r>
      <w:r w:rsidR="004E3295">
        <w:t xml:space="preserve"> aan nationale regels.</w:t>
      </w:r>
      <w:r w:rsidR="004E3295">
        <w:rPr>
          <w:rStyle w:val="Voetnootmarkering"/>
        </w:rPr>
        <w:footnoteReference w:id="64"/>
      </w:r>
      <w:r w:rsidR="007B6E4E">
        <w:t xml:space="preserve"> </w:t>
      </w:r>
      <w:r w:rsidR="00645E14">
        <w:t>Dit betekent dat het uiteindelijk geen invloed heeft op het nationale recht</w:t>
      </w:r>
      <w:r w:rsidR="003B3E1A">
        <w:t>. H</w:t>
      </w:r>
      <w:r w:rsidR="00645E14">
        <w:t>et is slechts een advies</w:t>
      </w:r>
      <w:r w:rsidR="0013669F">
        <w:t>.</w:t>
      </w:r>
      <w:r w:rsidR="00727C35">
        <w:t xml:space="preserve"> Voorts zijn </w:t>
      </w:r>
      <w:r w:rsidR="00556877">
        <w:t>verkoop bevorderende</w:t>
      </w:r>
      <w:r w:rsidR="00B804CB">
        <w:t xml:space="preserve"> activiteiten niet volledig ondergeschikt aan </w:t>
      </w:r>
      <w:r w:rsidR="0054504E">
        <w:t>de overdracht en verkoop van een goed</w:t>
      </w:r>
      <w:r w:rsidR="00621924">
        <w:t xml:space="preserve">. Het is </w:t>
      </w:r>
      <w:r w:rsidR="00670B2A">
        <w:t>daarom aannemelijk dat bij de verkoop van goederen de vrijheid van dienstverlening relevant kan zijn</w:t>
      </w:r>
      <w:r w:rsidR="00306481">
        <w:t xml:space="preserve"> en dus ook afdeling 6.5.2a BW.</w:t>
      </w:r>
      <w:r w:rsidR="00306481">
        <w:rPr>
          <w:rStyle w:val="Voetnootmarkering"/>
        </w:rPr>
        <w:footnoteReference w:id="65"/>
      </w:r>
    </w:p>
    <w:p w14:paraId="66C12BCD" w14:textId="132DB7FA" w:rsidR="004D225C" w:rsidRDefault="00EC4BB7" w:rsidP="00196BD8">
      <w:pPr>
        <w:spacing w:line="276" w:lineRule="auto"/>
        <w:jc w:val="both"/>
      </w:pPr>
      <w:r>
        <w:t xml:space="preserve">Op 30 januari </w:t>
      </w:r>
      <w:r w:rsidR="00DF2860">
        <w:t xml:space="preserve">2018 </w:t>
      </w:r>
      <w:r>
        <w:t>kwam de HvJ EU met het verlossende woord: detailhandel</w:t>
      </w:r>
      <w:r w:rsidR="00A1542C">
        <w:t xml:space="preserve"> in goederen</w:t>
      </w:r>
      <w:r>
        <w:t xml:space="preserve"> is een dienst als bedoeld in de </w:t>
      </w:r>
      <w:r w:rsidR="002F11CF">
        <w:t>D</w:t>
      </w:r>
      <w:r w:rsidR="00D017E0">
        <w:t xml:space="preserve">ienstenrichtlijn. </w:t>
      </w:r>
      <w:r w:rsidR="002E3FA5">
        <w:t>Bij de</w:t>
      </w:r>
      <w:r w:rsidR="00B11982">
        <w:t xml:space="preserve"> verkoop van goederen</w:t>
      </w:r>
      <w:r w:rsidR="002E3FA5">
        <w:t xml:space="preserve"> worden immers ook diensten verricht, zoals het geven van verkoopadvies en klantenservice. </w:t>
      </w:r>
      <w:r w:rsidR="00D017E0">
        <w:t xml:space="preserve">De </w:t>
      </w:r>
      <w:r w:rsidR="00811B64">
        <w:t>HvJ EU zag ook geen plaats voor een nuancering op dit gebied. Er k</w:t>
      </w:r>
      <w:r w:rsidR="00EF5FAA">
        <w:t>unnen geen verschillen zijn in hoe zwaar het ‘dienst-element’ in het licht van de totale commerciële activiteit dient te wegen</w:t>
      </w:r>
      <w:r w:rsidR="00500C07">
        <w:t>.</w:t>
      </w:r>
      <w:r w:rsidR="00A73E34">
        <w:t xml:space="preserve"> </w:t>
      </w:r>
      <w:r w:rsidR="00332CA2">
        <w:t xml:space="preserve">Een handeling is een dienst of een handeling is het niet. </w:t>
      </w:r>
      <w:r w:rsidR="00A73E34">
        <w:t>Dit is om de rechtszekerheid te waarborgen.</w:t>
      </w:r>
      <w:r w:rsidR="008F094F">
        <w:rPr>
          <w:rStyle w:val="Voetnootmarkering"/>
        </w:rPr>
        <w:footnoteReference w:id="66"/>
      </w:r>
      <w:r w:rsidR="004C3806">
        <w:t xml:space="preserve"> </w:t>
      </w:r>
      <w:r w:rsidR="007866D7">
        <w:t>Vervolgens ontstond de vraag hoever de reikwijdte van</w:t>
      </w:r>
      <w:r w:rsidR="00A1542C">
        <w:t xml:space="preserve"> het begrip</w:t>
      </w:r>
      <w:r w:rsidR="007866D7">
        <w:t xml:space="preserve"> </w:t>
      </w:r>
      <w:r w:rsidR="003D4D31">
        <w:t xml:space="preserve">detailhandel dan zou gelden. De Hoge </w:t>
      </w:r>
      <w:r w:rsidR="00556877">
        <w:t>R</w:t>
      </w:r>
      <w:r w:rsidR="003D4D31">
        <w:t>aad heeft zich hier op 2 juni 2023 over uitgesproken: ook groothandels en distributiecentra vallen onder het begrip dienst.</w:t>
      </w:r>
      <w:r w:rsidR="003D4D31">
        <w:rPr>
          <w:rStyle w:val="Voetnootmarkering"/>
        </w:rPr>
        <w:footnoteReference w:id="67"/>
      </w:r>
      <w:r w:rsidR="00C555F0">
        <w:t xml:space="preserve"> </w:t>
      </w:r>
      <w:r w:rsidR="00BA7661">
        <w:t xml:space="preserve">AG Wissink merkt in dit verband op dat ook een groothandel als verkoper vaak een tal aan diensten verricht, zoals het opkopen van goederen en het opsplitsen daarvan, opslag van voorraden, </w:t>
      </w:r>
      <w:r w:rsidR="0048290E">
        <w:t>transport, marktonderzoek etc.</w:t>
      </w:r>
      <w:r w:rsidR="00D6328D">
        <w:rPr>
          <w:rStyle w:val="Voetnootmarkering"/>
        </w:rPr>
        <w:footnoteReference w:id="68"/>
      </w:r>
      <w:r w:rsidR="00D64133">
        <w:t xml:space="preserve"> Gelet op de extreem brede uitleg van het begrip ‘dienstverrichter’ is de regeling van afdeling 6.5.2A BW daarmee inmiddels hoofdregel geworden. </w:t>
      </w:r>
    </w:p>
    <w:p w14:paraId="3C07F487" w14:textId="0081ADC1" w:rsidR="00306481" w:rsidRPr="000C586C" w:rsidRDefault="0016624D" w:rsidP="00196BD8">
      <w:pPr>
        <w:spacing w:line="276" w:lineRule="auto"/>
        <w:jc w:val="both"/>
      </w:pPr>
      <w:r>
        <w:t>Voor het privaatrecht heeft dit vergaande gevolgen.</w:t>
      </w:r>
      <w:r w:rsidR="003A17EE">
        <w:t xml:space="preserve"> </w:t>
      </w:r>
      <w:r w:rsidR="006069B2">
        <w:t xml:space="preserve">Het toepassingsbereik van art. 6:230c BW neemt weer toe en het toepassingsbereik van art. 6:234 BW neemt af. </w:t>
      </w:r>
      <w:r w:rsidR="003A17EE">
        <w:t xml:space="preserve">De gehele detailhandel- en </w:t>
      </w:r>
      <w:r w:rsidR="006069B2">
        <w:t>groothandelssector</w:t>
      </w:r>
      <w:r w:rsidR="003A17EE">
        <w:t xml:space="preserve"> </w:t>
      </w:r>
      <w:r w:rsidR="000A1060">
        <w:t xml:space="preserve">dient nu te voldoen aan de informatieplichten van art. 6:230b BW. Voor de algemene voorwaarden heeft het echter een </w:t>
      </w:r>
      <w:r w:rsidR="0057797A">
        <w:t>versoepelende</w:t>
      </w:r>
      <w:r w:rsidR="000A1060">
        <w:t xml:space="preserve"> werking. Er kan nu worden volstaan met het overhandigen van de algemene voorwaarden door middel van art. 6:230c BW. </w:t>
      </w:r>
      <w:r w:rsidR="00A66EEB">
        <w:t>In dat geval</w:t>
      </w:r>
      <w:r w:rsidR="00432097">
        <w:t xml:space="preserve"> is het elektronisch </w:t>
      </w:r>
      <w:r w:rsidR="00CB5A5B">
        <w:t>toegankelijk maken</w:t>
      </w:r>
      <w:r w:rsidR="00432097">
        <w:t xml:space="preserve"> of het neerleggen </w:t>
      </w:r>
      <w:r w:rsidR="003F0F44">
        <w:t>van de algemene voorwaarden op een balie</w:t>
      </w:r>
      <w:r w:rsidR="00432097">
        <w:t xml:space="preserve"> al voldoende.</w:t>
      </w:r>
      <w:r w:rsidR="00C549F6">
        <w:rPr>
          <w:rStyle w:val="Voetnootmarkering"/>
        </w:rPr>
        <w:footnoteReference w:id="69"/>
      </w:r>
      <w:r w:rsidR="00432097">
        <w:t xml:space="preserve"> </w:t>
      </w:r>
    </w:p>
    <w:p w14:paraId="0F6BB19C" w14:textId="3C8A089D" w:rsidR="00B56EE7" w:rsidRDefault="00C30556" w:rsidP="00196BD8">
      <w:pPr>
        <w:pStyle w:val="Kop2"/>
        <w:numPr>
          <w:ilvl w:val="1"/>
          <w:numId w:val="28"/>
        </w:numPr>
        <w:spacing w:line="276" w:lineRule="auto"/>
        <w:jc w:val="both"/>
      </w:pPr>
      <w:bookmarkStart w:id="20" w:name="_Toc182382072"/>
      <w:bookmarkStart w:id="21" w:name="_Toc186375509"/>
      <w:r>
        <w:t>De methoden om te voldoen aan de informatieplicht</w:t>
      </w:r>
      <w:bookmarkEnd w:id="20"/>
      <w:bookmarkEnd w:id="21"/>
    </w:p>
    <w:p w14:paraId="3D68909B" w14:textId="46C3CA26" w:rsidR="00397B81" w:rsidRDefault="00B5512F" w:rsidP="00196BD8">
      <w:pPr>
        <w:spacing w:line="276" w:lineRule="auto"/>
        <w:jc w:val="both"/>
      </w:pPr>
      <w:r>
        <w:t xml:space="preserve">Art. 6:230b </w:t>
      </w:r>
      <w:r w:rsidR="00D951AE">
        <w:t>l</w:t>
      </w:r>
      <w:r>
        <w:t xml:space="preserve">id </w:t>
      </w:r>
      <w:r w:rsidR="0015206C">
        <w:t>6</w:t>
      </w:r>
      <w:r w:rsidR="00A34DF2">
        <w:t xml:space="preserve"> BW</w:t>
      </w:r>
      <w:r w:rsidR="0015206C">
        <w:t xml:space="preserve"> bepaalt</w:t>
      </w:r>
      <w:r w:rsidR="00181701">
        <w:t xml:space="preserve"> dat de algemene voorwaarden overhandigd dienen te worden</w:t>
      </w:r>
      <w:r w:rsidR="00A34DF2">
        <w:t xml:space="preserve"> </w:t>
      </w:r>
      <w:r w:rsidR="002668D5">
        <w:t>aan de wederpartij op een van de vier wijzen genoemd in art. 6:230c BW</w:t>
      </w:r>
      <w:r w:rsidR="00181701">
        <w:t xml:space="preserve">. </w:t>
      </w:r>
      <w:r w:rsidR="004E572A">
        <w:t xml:space="preserve">Het </w:t>
      </w:r>
      <w:r w:rsidR="00D12FF2">
        <w:t xml:space="preserve">artikel </w:t>
      </w:r>
      <w:r w:rsidR="004E572A">
        <w:lastRenderedPageBreak/>
        <w:t>bestaat uit een limitatieve opsomming waar de gebruiker uit kan kiezen.</w:t>
      </w:r>
      <w:r w:rsidR="00974361">
        <w:t xml:space="preserve"> De opties zullen onderstaand worden besproken. De focus zal vooral liggen op publicatie op een elektronisch adres aangezien de focus </w:t>
      </w:r>
      <w:r w:rsidR="00C51BC5">
        <w:t xml:space="preserve">van deze scriptie </w:t>
      </w:r>
      <w:r w:rsidR="00974361">
        <w:t xml:space="preserve">vooral ligt op elektronische algemene voorwaarden. </w:t>
      </w:r>
      <w:r w:rsidR="00C51BC5">
        <w:t xml:space="preserve">De andere </w:t>
      </w:r>
      <w:r w:rsidR="00E46AF3">
        <w:t>drie</w:t>
      </w:r>
      <w:r w:rsidR="00C51BC5">
        <w:t xml:space="preserve"> opties zullen voor de volledigheid van de uitleg van het artikel wel kort besproken worden. </w:t>
      </w:r>
      <w:r w:rsidR="00397B81">
        <w:t xml:space="preserve">De </w:t>
      </w:r>
      <w:r w:rsidR="00727F00">
        <w:t>dienstverrichter</w:t>
      </w:r>
      <w:r w:rsidR="00397B81">
        <w:t xml:space="preserve"> kan kiezen uit de volgende mogelijkheden:</w:t>
      </w:r>
    </w:p>
    <w:p w14:paraId="09F19DA0" w14:textId="5B57461C" w:rsidR="00397B81" w:rsidRPr="00200A95" w:rsidRDefault="00397B81" w:rsidP="00196BD8">
      <w:pPr>
        <w:pStyle w:val="Lijstalinea"/>
        <w:numPr>
          <w:ilvl w:val="0"/>
          <w:numId w:val="6"/>
        </w:numPr>
        <w:spacing w:line="276" w:lineRule="auto"/>
        <w:jc w:val="both"/>
        <w:rPr>
          <w:i/>
          <w:iCs/>
        </w:rPr>
      </w:pPr>
      <w:r w:rsidRPr="00200A95">
        <w:rPr>
          <w:i/>
          <w:iCs/>
        </w:rPr>
        <w:t xml:space="preserve">Verstrekken op eigen </w:t>
      </w:r>
      <w:r w:rsidR="0042343E" w:rsidRPr="00200A95">
        <w:rPr>
          <w:i/>
          <w:iCs/>
        </w:rPr>
        <w:t>initiatief</w:t>
      </w:r>
      <w:r w:rsidR="009D7F36" w:rsidRPr="00200A95">
        <w:rPr>
          <w:i/>
          <w:iCs/>
        </w:rPr>
        <w:t>;</w:t>
      </w:r>
    </w:p>
    <w:p w14:paraId="0386E4D8" w14:textId="47BE22BB" w:rsidR="005B0CB1" w:rsidRPr="00200A95" w:rsidRDefault="00B972FE" w:rsidP="00196BD8">
      <w:pPr>
        <w:pStyle w:val="Lijstalinea"/>
        <w:numPr>
          <w:ilvl w:val="0"/>
          <w:numId w:val="6"/>
        </w:numPr>
        <w:spacing w:line="276" w:lineRule="auto"/>
        <w:jc w:val="both"/>
        <w:rPr>
          <w:i/>
          <w:iCs/>
        </w:rPr>
      </w:pPr>
      <w:r>
        <w:rPr>
          <w:i/>
          <w:iCs/>
        </w:rPr>
        <w:t>Ter inzage leggen</w:t>
      </w:r>
      <w:r w:rsidR="009D7F36" w:rsidRPr="00200A95">
        <w:rPr>
          <w:i/>
          <w:iCs/>
        </w:rPr>
        <w:t xml:space="preserve"> op de plaats waar de dienst wordt verricht of de overeenkomst wordt gesloten;</w:t>
      </w:r>
    </w:p>
    <w:p w14:paraId="0E7C2E7B" w14:textId="21707A61" w:rsidR="009D7F36" w:rsidRPr="00200A95" w:rsidRDefault="00D10869" w:rsidP="00196BD8">
      <w:pPr>
        <w:pStyle w:val="Lijstalinea"/>
        <w:numPr>
          <w:ilvl w:val="0"/>
          <w:numId w:val="6"/>
        </w:numPr>
        <w:spacing w:line="276" w:lineRule="auto"/>
        <w:jc w:val="both"/>
        <w:rPr>
          <w:i/>
          <w:iCs/>
        </w:rPr>
      </w:pPr>
      <w:r>
        <w:rPr>
          <w:i/>
          <w:iCs/>
        </w:rPr>
        <w:t xml:space="preserve">Publicatie op </w:t>
      </w:r>
      <w:r w:rsidR="00182C21">
        <w:rPr>
          <w:i/>
          <w:iCs/>
        </w:rPr>
        <w:t xml:space="preserve">een </w:t>
      </w:r>
      <w:r>
        <w:rPr>
          <w:i/>
          <w:iCs/>
        </w:rPr>
        <w:t>medegedeeld adres</w:t>
      </w:r>
      <w:r w:rsidR="00E77794" w:rsidRPr="00200A95">
        <w:rPr>
          <w:i/>
          <w:iCs/>
        </w:rPr>
        <w:t>;</w:t>
      </w:r>
    </w:p>
    <w:p w14:paraId="301F0B92" w14:textId="06151BA6" w:rsidR="00E77794" w:rsidRDefault="00182C21" w:rsidP="00196BD8">
      <w:pPr>
        <w:pStyle w:val="Lijstalinea"/>
        <w:numPr>
          <w:ilvl w:val="0"/>
          <w:numId w:val="6"/>
        </w:numPr>
        <w:spacing w:line="276" w:lineRule="auto"/>
        <w:jc w:val="both"/>
        <w:rPr>
          <w:i/>
          <w:iCs/>
        </w:rPr>
      </w:pPr>
      <w:r>
        <w:rPr>
          <w:i/>
          <w:iCs/>
        </w:rPr>
        <w:t>Meezenden</w:t>
      </w:r>
      <w:r w:rsidR="00B972FE">
        <w:rPr>
          <w:i/>
          <w:iCs/>
        </w:rPr>
        <w:t xml:space="preserve"> met alle documenten waarin de dienst wordt beschreven</w:t>
      </w:r>
      <w:r w:rsidR="00B01D55" w:rsidRPr="00200A95">
        <w:rPr>
          <w:i/>
          <w:iCs/>
        </w:rPr>
        <w:t>.</w:t>
      </w:r>
    </w:p>
    <w:p w14:paraId="7EED1363" w14:textId="77777777" w:rsidR="009F3A85" w:rsidRPr="00200A95" w:rsidRDefault="009F3A85" w:rsidP="00196BD8">
      <w:pPr>
        <w:pStyle w:val="Lijstalinea"/>
        <w:spacing w:line="276" w:lineRule="auto"/>
        <w:jc w:val="both"/>
        <w:rPr>
          <w:i/>
          <w:iCs/>
        </w:rPr>
      </w:pPr>
    </w:p>
    <w:p w14:paraId="6F049547" w14:textId="44044B01" w:rsidR="003E7991" w:rsidRPr="008F5522" w:rsidRDefault="009F3A85" w:rsidP="00196BD8">
      <w:pPr>
        <w:pStyle w:val="Lijstalinea"/>
        <w:numPr>
          <w:ilvl w:val="2"/>
          <w:numId w:val="24"/>
        </w:numPr>
        <w:spacing w:line="276" w:lineRule="auto"/>
        <w:jc w:val="both"/>
        <w:rPr>
          <w:b/>
          <w:bCs/>
        </w:rPr>
      </w:pPr>
      <w:r w:rsidRPr="008F5522">
        <w:rPr>
          <w:b/>
          <w:bCs/>
        </w:rPr>
        <w:t xml:space="preserve">Verstrekken op eigen </w:t>
      </w:r>
      <w:r w:rsidR="00A221D3" w:rsidRPr="008F5522">
        <w:rPr>
          <w:b/>
          <w:bCs/>
        </w:rPr>
        <w:t>initiatief</w:t>
      </w:r>
      <w:r w:rsidR="00660187" w:rsidRPr="008F5522">
        <w:rPr>
          <w:b/>
          <w:bCs/>
        </w:rPr>
        <w:t xml:space="preserve"> en meezenden met alle </w:t>
      </w:r>
      <w:r w:rsidR="00A0309D" w:rsidRPr="008F5522">
        <w:rPr>
          <w:b/>
          <w:bCs/>
        </w:rPr>
        <w:t>contractsdocumenten</w:t>
      </w:r>
    </w:p>
    <w:p w14:paraId="23BA6440" w14:textId="55F538F2" w:rsidR="00616BC4" w:rsidRPr="006B42D4" w:rsidRDefault="009F1DB6" w:rsidP="00196BD8">
      <w:pPr>
        <w:spacing w:line="276" w:lineRule="auto"/>
        <w:jc w:val="both"/>
      </w:pPr>
      <w:r>
        <w:t>Loos</w:t>
      </w:r>
      <w:r w:rsidR="00556877">
        <w:t xml:space="preserve"> stelt</w:t>
      </w:r>
      <w:r>
        <w:t xml:space="preserve"> dat tussen het eerste en het laatste lid eigenlijk geen praktisch verschil bestaat; deze methoden komen feitelijk overeen met de terhandstelling ex art. 6:234 </w:t>
      </w:r>
      <w:r w:rsidR="00C706BD">
        <w:t xml:space="preserve">lid 1 </w:t>
      </w:r>
      <w:r>
        <w:t>B</w:t>
      </w:r>
      <w:r w:rsidR="005125D7">
        <w:t>W, waaronder ook begrepen de toezending van de algemene voorwaarden voorafgaande aan de contractsluiting.</w:t>
      </w:r>
      <w:r w:rsidR="00CD226B">
        <w:rPr>
          <w:rStyle w:val="Voetnootmarkering"/>
        </w:rPr>
        <w:footnoteReference w:id="70"/>
      </w:r>
      <w:r w:rsidR="005125D7">
        <w:t xml:space="preserve"> </w:t>
      </w:r>
      <w:r w:rsidR="00556877">
        <w:t xml:space="preserve">Ik deel deze mening. </w:t>
      </w:r>
      <w:r w:rsidR="00365993">
        <w:t>In de jurisprudentie en literatuur is de laatste jaren weinig</w:t>
      </w:r>
      <w:r w:rsidR="004B59A6">
        <w:t xml:space="preserve"> tot geen</w:t>
      </w:r>
      <w:r w:rsidR="00365993">
        <w:t xml:space="preserve"> invulling gegeven aan deze optie</w:t>
      </w:r>
      <w:r w:rsidR="004F4E10">
        <w:t xml:space="preserve"> voor dienstverrichters</w:t>
      </w:r>
      <w:r w:rsidR="000A7505">
        <w:t>.</w:t>
      </w:r>
      <w:r w:rsidR="00365993">
        <w:t xml:space="preserve"> </w:t>
      </w:r>
      <w:r w:rsidR="001861BB">
        <w:t>Dit lid</w:t>
      </w:r>
      <w:r w:rsidR="00DB4EA8">
        <w:t xml:space="preserve"> is mijns inziens echter </w:t>
      </w:r>
      <w:r w:rsidR="00476808">
        <w:t xml:space="preserve">ook </w:t>
      </w:r>
      <w:r w:rsidR="00DB4EA8">
        <w:t>vrij duidelijk</w:t>
      </w:r>
      <w:r w:rsidR="006B42D4">
        <w:t>; de algemene voorwaarden worden simpelweg overhandigd</w:t>
      </w:r>
      <w:r w:rsidR="001861BB">
        <w:t xml:space="preserve"> door de </w:t>
      </w:r>
      <w:r w:rsidR="00A412D2">
        <w:t>dienstverrichter</w:t>
      </w:r>
      <w:r w:rsidR="006B42D4">
        <w:t>. Opmerking verdient nog dat dit wel tijdig dient te gebeuren ex art. 6:230</w:t>
      </w:r>
      <w:r w:rsidR="006B42D4" w:rsidRPr="006B42D4">
        <w:t xml:space="preserve">e </w:t>
      </w:r>
      <w:r w:rsidR="006B42D4">
        <w:t xml:space="preserve">BW, wat later </w:t>
      </w:r>
      <w:r w:rsidR="00390711">
        <w:t xml:space="preserve">in </w:t>
      </w:r>
      <w:r w:rsidR="006B42D4">
        <w:t xml:space="preserve">dit </w:t>
      </w:r>
      <w:r w:rsidR="00332CA2">
        <w:t>paragraaf 3.4. nog zal worden besproken.</w:t>
      </w:r>
      <w:r w:rsidR="006B42D4">
        <w:t xml:space="preserve"> </w:t>
      </w:r>
    </w:p>
    <w:p w14:paraId="1CABF742" w14:textId="77F222C1" w:rsidR="009F3A85" w:rsidRPr="008F5522" w:rsidRDefault="002A7440" w:rsidP="00196BD8">
      <w:pPr>
        <w:pStyle w:val="Lijstalinea"/>
        <w:numPr>
          <w:ilvl w:val="2"/>
          <w:numId w:val="24"/>
        </w:numPr>
        <w:spacing w:line="276" w:lineRule="auto"/>
        <w:jc w:val="both"/>
        <w:rPr>
          <w:b/>
          <w:bCs/>
        </w:rPr>
      </w:pPr>
      <w:r w:rsidRPr="008F5522">
        <w:rPr>
          <w:b/>
          <w:bCs/>
        </w:rPr>
        <w:t>Ter inzage leggen</w:t>
      </w:r>
      <w:r w:rsidR="0042343E" w:rsidRPr="008F5522">
        <w:rPr>
          <w:b/>
          <w:bCs/>
        </w:rPr>
        <w:t xml:space="preserve"> op de plaats waar de dienst wordt verricht of de overeenkomst wordt gesloten</w:t>
      </w:r>
    </w:p>
    <w:p w14:paraId="63AC8F49" w14:textId="7C21EC30" w:rsidR="00631C0B" w:rsidRPr="00631C0B" w:rsidRDefault="0071065D" w:rsidP="00196BD8">
      <w:pPr>
        <w:spacing w:line="276" w:lineRule="auto"/>
        <w:jc w:val="both"/>
      </w:pPr>
      <w:r>
        <w:t xml:space="preserve">In dit geval </w:t>
      </w:r>
      <w:r w:rsidR="0041140B">
        <w:t xml:space="preserve">dienen de algemene voorwaarden ‘gemakkelijk toegankelijk’ te zijn voor de wederpartij. Geen duidelijkheid bestaat over de vraag wat gemakkelijk toegankelijk in deze context betekent. In 2012 heeft het </w:t>
      </w:r>
      <w:r w:rsidR="008B41E7">
        <w:t>Hof Arnhem</w:t>
      </w:r>
      <w:r w:rsidR="0041140B">
        <w:t xml:space="preserve"> een uitspraak gedaan</w:t>
      </w:r>
      <w:r w:rsidR="008B41E7">
        <w:t xml:space="preserve"> </w:t>
      </w:r>
      <w:r w:rsidR="00E956A3">
        <w:t>omtrent een autobedrijf dat haar algemene voorwaarden goed zichtbaar op de balie had staan. Het Hof</w:t>
      </w:r>
      <w:r w:rsidR="008B41E7">
        <w:t xml:space="preserve"> oordeelde dat het </w:t>
      </w:r>
      <w:r w:rsidR="00E956A3">
        <w:t>ter inzage leggen van algemene voorwaarden in een bakje op de balie valt onder de term gemakkelijk toegankelijk</w:t>
      </w:r>
      <w:r w:rsidR="00E87836">
        <w:t xml:space="preserve"> op de plaats waar de dienst wordt verricht of de overeenkomst wordt gesloten</w:t>
      </w:r>
      <w:r w:rsidR="00E956A3">
        <w:t xml:space="preserve">. </w:t>
      </w:r>
      <w:r w:rsidR="008A40F5">
        <w:t xml:space="preserve">Het was voor de wederpartij in dit geval makkelijk om kennis te nemen van de </w:t>
      </w:r>
      <w:r w:rsidR="005F7BFF">
        <w:t>algemene</w:t>
      </w:r>
      <w:r w:rsidR="008A40F5">
        <w:t xml:space="preserve"> voorwaarden, dus een beroep op vernietiging is dan ook niet mogelijk.</w:t>
      </w:r>
      <w:r w:rsidR="008A40F5">
        <w:rPr>
          <w:rStyle w:val="Voetnootmarkering"/>
        </w:rPr>
        <w:footnoteReference w:id="71"/>
      </w:r>
      <w:r w:rsidR="00CE7EAE">
        <w:t xml:space="preserve"> Dit is vrijwel het enige wat in de rechtspraak wordt </w:t>
      </w:r>
      <w:r w:rsidR="00E87836">
        <w:t>bepaald</w:t>
      </w:r>
      <w:r w:rsidR="00CE7EAE">
        <w:t xml:space="preserve"> omtrent dit onderwerp. Loos </w:t>
      </w:r>
      <w:r w:rsidR="00556877">
        <w:t xml:space="preserve">plaatst </w:t>
      </w:r>
      <w:r w:rsidR="00CE7EAE">
        <w:t xml:space="preserve">hierbij </w:t>
      </w:r>
      <w:r w:rsidR="00556877">
        <w:t xml:space="preserve">terecht </w:t>
      </w:r>
      <w:r w:rsidR="00CE7EAE">
        <w:t xml:space="preserve">de opmerking dat het bij het sluiten van een telefonische overeenkomst niet rechtvaardig zou zijn als er wordt verwezen naar algemene voorwaarden die toegankelijk zijn op het kantoor waar de dienst </w:t>
      </w:r>
      <w:r w:rsidR="00CE7EAE">
        <w:lastRenderedPageBreak/>
        <w:t xml:space="preserve">wordt verricht. </w:t>
      </w:r>
      <w:r w:rsidR="00717D1A">
        <w:t>Zo is het voor de wederpartij niet mogelijk om gemakkelijk toegang te krijgen tot de algemene voorwaarden.</w:t>
      </w:r>
      <w:r w:rsidR="00A64FE6">
        <w:rPr>
          <w:rStyle w:val="Voetnootmarkering"/>
        </w:rPr>
        <w:footnoteReference w:id="72"/>
      </w:r>
      <w:r w:rsidR="00717D1A">
        <w:t xml:space="preserve"> </w:t>
      </w:r>
    </w:p>
    <w:p w14:paraId="3B207536" w14:textId="2BEDB4E9" w:rsidR="0042343E" w:rsidRPr="008F5522" w:rsidRDefault="00182C21" w:rsidP="00196BD8">
      <w:pPr>
        <w:pStyle w:val="Lijstalinea"/>
        <w:numPr>
          <w:ilvl w:val="2"/>
          <w:numId w:val="24"/>
        </w:numPr>
        <w:spacing w:line="276" w:lineRule="auto"/>
        <w:jc w:val="both"/>
        <w:rPr>
          <w:b/>
          <w:bCs/>
        </w:rPr>
      </w:pPr>
      <w:r w:rsidRPr="008F5522">
        <w:rPr>
          <w:b/>
          <w:bCs/>
        </w:rPr>
        <w:t xml:space="preserve">Publiceren op een </w:t>
      </w:r>
      <w:r w:rsidR="0042343E" w:rsidRPr="008F5522">
        <w:rPr>
          <w:b/>
          <w:bCs/>
        </w:rPr>
        <w:t>medegedeeld adres</w:t>
      </w:r>
    </w:p>
    <w:p w14:paraId="2B5ED9A1" w14:textId="727B7AA1" w:rsidR="00616BC4" w:rsidRDefault="00927550" w:rsidP="00196BD8">
      <w:pPr>
        <w:spacing w:line="276" w:lineRule="auto"/>
        <w:jc w:val="both"/>
      </w:pPr>
      <w:r>
        <w:t>L</w:t>
      </w:r>
      <w:r w:rsidR="001A2A77">
        <w:t>id</w:t>
      </w:r>
      <w:r>
        <w:t xml:space="preserve"> 3</w:t>
      </w:r>
      <w:r w:rsidR="001A2A77">
        <w:t xml:space="preserve"> </w:t>
      </w:r>
      <w:r w:rsidR="00894F84">
        <w:t xml:space="preserve">van art. 6:230c BW </w:t>
      </w:r>
      <w:r w:rsidR="001A2A77">
        <w:t xml:space="preserve">bepaalt dat de </w:t>
      </w:r>
      <w:r w:rsidR="00136F79">
        <w:t xml:space="preserve">dienstverrichter de algemene voorwaarden ter beschikking kan stellen door </w:t>
      </w:r>
      <w:r w:rsidR="009B1038">
        <w:t xml:space="preserve">mededeling van een </w:t>
      </w:r>
      <w:r w:rsidR="004763E2">
        <w:t>elektronisch</w:t>
      </w:r>
      <w:r w:rsidR="009B1038">
        <w:t xml:space="preserve"> </w:t>
      </w:r>
      <w:r w:rsidR="004763E2">
        <w:t>webadres</w:t>
      </w:r>
      <w:r w:rsidR="009B1038">
        <w:t xml:space="preserve"> waarop de algemene voorwaarden </w:t>
      </w:r>
      <w:r w:rsidR="00887853">
        <w:t>‘gemakkelijk toegankelijk’</w:t>
      </w:r>
      <w:r w:rsidR="009B1038">
        <w:t xml:space="preserve"> zijn.</w:t>
      </w:r>
      <w:r w:rsidR="00887853">
        <w:t xml:space="preserve"> De vraag is </w:t>
      </w:r>
      <w:r w:rsidR="004567BD">
        <w:t xml:space="preserve">ook hier </w:t>
      </w:r>
      <w:r w:rsidR="00887853">
        <w:t xml:space="preserve">wat kan </w:t>
      </w:r>
      <w:r w:rsidR="00C3575B">
        <w:t>worden verstaan onder gemakkelijk toegankelijk.</w:t>
      </w:r>
      <w:r w:rsidR="00AC7F2E">
        <w:rPr>
          <w:rStyle w:val="Voetnootmarkering"/>
        </w:rPr>
        <w:footnoteReference w:id="73"/>
      </w:r>
      <w:r w:rsidR="00D5555E">
        <w:t xml:space="preserve"> Dit is afhankelijk van de omstandigheden van het geval. </w:t>
      </w:r>
      <w:r w:rsidR="00F00694">
        <w:t xml:space="preserve">De Hoge Raad </w:t>
      </w:r>
      <w:r w:rsidR="00556877">
        <w:t>overweegt</w:t>
      </w:r>
      <w:r w:rsidR="00F00694">
        <w:t>: “</w:t>
      </w:r>
      <w:r w:rsidR="009D1B27">
        <w:t xml:space="preserve">Indien de algemene voorwaarden zonder noemenswaardige </w:t>
      </w:r>
      <w:r w:rsidR="00F00694">
        <w:t>inspanning</w:t>
      </w:r>
      <w:r w:rsidR="009D1B27">
        <w:t xml:space="preserve"> </w:t>
      </w:r>
      <w:r w:rsidR="003F3E80">
        <w:t xml:space="preserve">gevonden </w:t>
      </w:r>
      <w:r w:rsidR="009D1B27">
        <w:t xml:space="preserve">kunnen worden </w:t>
      </w:r>
      <w:r w:rsidR="003F3E80">
        <w:t xml:space="preserve">op </w:t>
      </w:r>
      <w:r w:rsidR="009D1B27">
        <w:t xml:space="preserve">of </w:t>
      </w:r>
      <w:r w:rsidR="003F3E80">
        <w:t>via</w:t>
      </w:r>
      <w:r w:rsidR="009D1B27">
        <w:t xml:space="preserve"> de website waarnaar op de facturen </w:t>
      </w:r>
      <w:r w:rsidR="00E83A2E">
        <w:t>is</w:t>
      </w:r>
      <w:r w:rsidR="009D1B27">
        <w:t xml:space="preserve"> verwezen, </w:t>
      </w:r>
      <w:r w:rsidR="00610948">
        <w:t xml:space="preserve">moet worden aangenomen dat </w:t>
      </w:r>
      <w:r w:rsidR="00E83A2E">
        <w:t>de</w:t>
      </w:r>
      <w:r w:rsidR="00610948">
        <w:t xml:space="preserve"> algemene voorwaarden gemakkelijk elektronisch toegankelijk zijn</w:t>
      </w:r>
      <w:r w:rsidR="00E83A2E">
        <w:t>”</w:t>
      </w:r>
      <w:r w:rsidR="00610948">
        <w:t>.</w:t>
      </w:r>
      <w:r w:rsidR="006A7839">
        <w:rPr>
          <w:rStyle w:val="Voetnootmarkering"/>
        </w:rPr>
        <w:footnoteReference w:id="74"/>
      </w:r>
    </w:p>
    <w:p w14:paraId="3A949594" w14:textId="728D3A1E" w:rsidR="000F4AA2" w:rsidRDefault="003F3D7D" w:rsidP="00196BD8">
      <w:pPr>
        <w:spacing w:line="276" w:lineRule="auto"/>
        <w:jc w:val="both"/>
      </w:pPr>
      <w:r>
        <w:t>In</w:t>
      </w:r>
      <w:r w:rsidR="000F4AA2">
        <w:t xml:space="preserve"> de praktijk brengt dit nog steeds niet veel extra duidelijkheid met zich mee, maar het is ook begrijpelijk dat de Hoge Raad geen verdere invulling </w:t>
      </w:r>
      <w:r w:rsidR="007455A1">
        <w:t>wil geven</w:t>
      </w:r>
      <w:r w:rsidR="000F4AA2">
        <w:t xml:space="preserve">. Elke weergave van algemene voorwaarden op </w:t>
      </w:r>
      <w:r w:rsidR="0048356C">
        <w:t>een website</w:t>
      </w:r>
      <w:r w:rsidR="000F4AA2">
        <w:t xml:space="preserve"> kan immers anders zijn. </w:t>
      </w:r>
      <w:r w:rsidR="007455A1">
        <w:t xml:space="preserve">Het </w:t>
      </w:r>
      <w:r w:rsidR="00325312">
        <w:t>zal daarom af komen te hangen van een afweging van de omstandigheden van het geval.</w:t>
      </w:r>
    </w:p>
    <w:p w14:paraId="713B1C9D" w14:textId="468CB49E" w:rsidR="000F4AA2" w:rsidRDefault="000F4AA2" w:rsidP="00196BD8">
      <w:pPr>
        <w:spacing w:line="276" w:lineRule="auto"/>
        <w:jc w:val="both"/>
      </w:pPr>
      <w:r>
        <w:t xml:space="preserve">Wel wordt duidelijk dat </w:t>
      </w:r>
      <w:r w:rsidR="00FD7F03">
        <w:t>het niet vereist is dat wordt verwezen naar een website waar de algemene voorwaarden direct te lezen zijn</w:t>
      </w:r>
      <w:r w:rsidR="005627B5">
        <w:t xml:space="preserve"> (“op de website”)</w:t>
      </w:r>
      <w:r w:rsidR="00FD7F03">
        <w:t xml:space="preserve">. Voldoende is ook dat er een button of </w:t>
      </w:r>
      <w:r w:rsidR="005627B5">
        <w:t xml:space="preserve">link staat waarop moet worden geklikt om vervolgens bij de </w:t>
      </w:r>
      <w:r w:rsidR="00F7712A">
        <w:t>algemene</w:t>
      </w:r>
      <w:r w:rsidR="005627B5">
        <w:t xml:space="preserve"> voorwaarden te komen (“via de website”). </w:t>
      </w:r>
      <w:r w:rsidR="00974361">
        <w:t>In</w:t>
      </w:r>
      <w:r w:rsidR="00E0159C">
        <w:t xml:space="preserve"> de praktijk zal het vaak gaan afhangen van de overzichtelijkheid van een website. Is een website voldoende overzichtelijk en staat er duidelijk ergens, bijvoorbeeld onderaan de pagina, </w:t>
      </w:r>
      <w:r w:rsidR="00EA1987">
        <w:t>een kopje “</w:t>
      </w:r>
      <w:r w:rsidR="004E6900">
        <w:t xml:space="preserve">(algemene) </w:t>
      </w:r>
      <w:r w:rsidR="00EA1987">
        <w:t xml:space="preserve">voorwaarden”, dan zal </w:t>
      </w:r>
      <w:r w:rsidR="00D37085">
        <w:t>de vindplaats van de algemene voorwaarden al vrij snel als gemakkelijk toegankelijk worden bestempeld</w:t>
      </w:r>
      <w:r w:rsidR="00EA1987">
        <w:t xml:space="preserve">. Is de website echter onoverzichtelijk en moeten de </w:t>
      </w:r>
      <w:r w:rsidR="00D37085">
        <w:t xml:space="preserve">algemene </w:t>
      </w:r>
      <w:r w:rsidR="00EA1987">
        <w:t>voorwaarden bijvoorbeeld gevonden worden via een zoekopdracht dan lijkt m</w:t>
      </w:r>
      <w:r w:rsidR="00743B07">
        <w:t>ij</w:t>
      </w:r>
      <w:r w:rsidR="00EA1987">
        <w:t xml:space="preserve"> niet te zijn voldaan aan </w:t>
      </w:r>
      <w:r w:rsidR="001210C8">
        <w:t xml:space="preserve">het vereiste “zonder noemenswaardige inspanning”. </w:t>
      </w:r>
      <w:r w:rsidR="007B1CA6">
        <w:rPr>
          <w:rStyle w:val="Voetnootmarkering"/>
        </w:rPr>
        <w:footnoteReference w:id="75"/>
      </w:r>
      <w:r w:rsidR="00B241BB">
        <w:t xml:space="preserve"> Van de wederpartij mag </w:t>
      </w:r>
      <w:r w:rsidR="005C3182">
        <w:t xml:space="preserve">daarnaast </w:t>
      </w:r>
      <w:r w:rsidR="00B241BB">
        <w:t xml:space="preserve">niet worden verwacht dat zij online </w:t>
      </w:r>
      <w:r w:rsidR="00F42FC3">
        <w:t>opzoek moet</w:t>
      </w:r>
      <w:r w:rsidR="00B241BB">
        <w:t xml:space="preserve"> naar de website</w:t>
      </w:r>
      <w:r w:rsidR="00642F01">
        <w:rPr>
          <w:rStyle w:val="Voetnootmarkering"/>
        </w:rPr>
        <w:footnoteReference w:id="76"/>
      </w:r>
      <w:r w:rsidR="00B241BB">
        <w:t xml:space="preserve"> van de gebruiker</w:t>
      </w:r>
      <w:r w:rsidR="00990C8D">
        <w:t xml:space="preserve"> of de website </w:t>
      </w:r>
      <w:r w:rsidR="00D17A86">
        <w:t>af moet speuren</w:t>
      </w:r>
      <w:r w:rsidR="00990C8D">
        <w:t xml:space="preserve"> naar de algemene voorwaarden</w:t>
      </w:r>
      <w:r w:rsidR="00872976">
        <w:t>.</w:t>
      </w:r>
      <w:r w:rsidR="001D024F">
        <w:rPr>
          <w:rStyle w:val="Voetnootmarkering"/>
        </w:rPr>
        <w:footnoteReference w:id="77"/>
      </w:r>
    </w:p>
    <w:p w14:paraId="1C5BC49B" w14:textId="337EC09E" w:rsidR="00171981" w:rsidRDefault="00171981" w:rsidP="00196BD8">
      <w:pPr>
        <w:spacing w:line="276" w:lineRule="auto"/>
        <w:jc w:val="both"/>
      </w:pPr>
      <w:r>
        <w:t xml:space="preserve">Op het eerste gezicht </w:t>
      </w:r>
      <w:r w:rsidR="002235C0">
        <w:t xml:space="preserve">lijkt het </w:t>
      </w:r>
      <w:r w:rsidR="008B617A">
        <w:t xml:space="preserve">niet vereist dat de wederpartij de algemene voorwaarden ook kan opslaan ten behoeve van latere kennisneming. Deze eis vloeit echter wél voort uit art. 10 lid 3 van de Richtlijn elektronische handel. </w:t>
      </w:r>
      <w:r w:rsidR="00F44BA6">
        <w:rPr>
          <w:rStyle w:val="Voetnootmarkering"/>
        </w:rPr>
        <w:footnoteReference w:id="78"/>
      </w:r>
      <w:r w:rsidR="009B7FA8">
        <w:t xml:space="preserve"> </w:t>
      </w:r>
      <w:r w:rsidR="00657A38">
        <w:t xml:space="preserve">De bepalingen van art. 22 </w:t>
      </w:r>
      <w:r w:rsidR="00657A38">
        <w:lastRenderedPageBreak/>
        <w:t xml:space="preserve">Dienstenrichtlijn en de daarop gebaseerde artikelen beogen geen </w:t>
      </w:r>
      <w:r w:rsidR="00B372CA">
        <w:t>uitzondering</w:t>
      </w:r>
      <w:r w:rsidR="00657A38">
        <w:t xml:space="preserve"> te maken op deze </w:t>
      </w:r>
      <w:r w:rsidR="00B372CA">
        <w:t xml:space="preserve">eis. </w:t>
      </w:r>
      <w:r w:rsidR="007C1F76">
        <w:t xml:space="preserve">Hier zal later nog verder op in worden gegaan in paragraaf </w:t>
      </w:r>
      <w:r w:rsidR="002769C6">
        <w:t>5</w:t>
      </w:r>
      <w:r w:rsidR="00506DFB">
        <w:t>.5.</w:t>
      </w:r>
    </w:p>
    <w:p w14:paraId="03D24282" w14:textId="020ACBE0" w:rsidR="00992F8C" w:rsidRDefault="00F61541" w:rsidP="00196BD8">
      <w:pPr>
        <w:pStyle w:val="Kop2"/>
        <w:numPr>
          <w:ilvl w:val="1"/>
          <w:numId w:val="24"/>
        </w:numPr>
        <w:spacing w:line="276" w:lineRule="auto"/>
        <w:jc w:val="both"/>
      </w:pPr>
      <w:bookmarkStart w:id="22" w:name="_Toc182382073"/>
      <w:bookmarkStart w:id="23" w:name="_Toc186375510"/>
      <w:r>
        <w:t>De versoepel</w:t>
      </w:r>
      <w:r w:rsidR="007D4D60">
        <w:t>ende werking</w:t>
      </w:r>
      <w:r>
        <w:t xml:space="preserve"> van art. </w:t>
      </w:r>
      <w:r w:rsidR="00D12658">
        <w:t>6:</w:t>
      </w:r>
      <w:r w:rsidR="00D12658" w:rsidRPr="00F61541">
        <w:t>230e</w:t>
      </w:r>
      <w:r w:rsidR="00D12658">
        <w:t xml:space="preserve"> BW</w:t>
      </w:r>
      <w:bookmarkEnd w:id="22"/>
      <w:bookmarkEnd w:id="23"/>
    </w:p>
    <w:p w14:paraId="66C8E4A3" w14:textId="0B12DC7E" w:rsidR="00075322" w:rsidRDefault="004609C3" w:rsidP="00196BD8">
      <w:pPr>
        <w:spacing w:line="276" w:lineRule="auto"/>
        <w:jc w:val="both"/>
      </w:pPr>
      <w:r>
        <w:t>Artikel 6:230</w:t>
      </w:r>
      <w:r w:rsidRPr="00F61541">
        <w:t>e</w:t>
      </w:r>
      <w:r>
        <w:t xml:space="preserve"> BW is een interpretatie van art. 22 lid</w:t>
      </w:r>
      <w:r w:rsidR="00F8438A">
        <w:t xml:space="preserve"> 4 van de Dienstenrichtlijn. Het vereist dat de </w:t>
      </w:r>
      <w:r w:rsidR="00F61541">
        <w:t>informatie</w:t>
      </w:r>
      <w:r w:rsidR="00F8438A">
        <w:t xml:space="preserve"> ex afdeling 6.5.2A ondubbelzinnig, correct en helder is</w:t>
      </w:r>
      <w:r w:rsidR="007D0177">
        <w:t xml:space="preserve"> en d</w:t>
      </w:r>
      <w:r w:rsidR="00B66EB2">
        <w:t>e informatie moet tijdig v</w:t>
      </w:r>
      <w:r w:rsidR="00B47034">
        <w:t>óó</w:t>
      </w:r>
      <w:r w:rsidR="00B66EB2">
        <w:t>r het sluiten van de overeenkomst worden verstrekt. In het geval dat het geen schriftelijke overeenkomst is, maar bijvoorbeeld</w:t>
      </w:r>
      <w:r w:rsidR="009A7102">
        <w:t xml:space="preserve"> </w:t>
      </w:r>
      <w:r w:rsidR="00503C4F">
        <w:t>telefonisch</w:t>
      </w:r>
      <w:r w:rsidR="009A7102">
        <w:t>, is het ook voldoende</w:t>
      </w:r>
      <w:r w:rsidR="00FB38B9">
        <w:t xml:space="preserve"> dat de algemene voorwaarden v</w:t>
      </w:r>
      <w:r w:rsidR="008657D1">
        <w:t>óó</w:t>
      </w:r>
      <w:r w:rsidR="00FB38B9">
        <w:t xml:space="preserve">r het uitvoeren van de dienst beschikbaar worden gesteld of worden medegedeeld. </w:t>
      </w:r>
      <w:r w:rsidR="003A6AC6">
        <w:t xml:space="preserve">Dit vormt in combinatie met </w:t>
      </w:r>
      <w:r w:rsidR="0050141C">
        <w:t xml:space="preserve">art. 6:230b BW </w:t>
      </w:r>
      <w:r w:rsidR="003A6AC6">
        <w:t xml:space="preserve">een </w:t>
      </w:r>
      <w:r w:rsidR="00AA0B09">
        <w:t>verlichting</w:t>
      </w:r>
      <w:r w:rsidR="003A6AC6">
        <w:t xml:space="preserve"> voor de </w:t>
      </w:r>
      <w:r w:rsidR="003903CA">
        <w:t>dienstverrichters</w:t>
      </w:r>
      <w:r w:rsidR="003A6AC6">
        <w:t xml:space="preserve"> t</w:t>
      </w:r>
      <w:r w:rsidR="0050141C">
        <w:t>en opzichte van de informatieplicht voor niet-dienstver</w:t>
      </w:r>
      <w:r w:rsidR="00AC6A24">
        <w:t>richters. De niet-dienstverrichters moeten op basis</w:t>
      </w:r>
      <w:r w:rsidR="0050141C">
        <w:t xml:space="preserve"> van art. 6:233</w:t>
      </w:r>
      <w:r w:rsidR="00CC707C">
        <w:t xml:space="preserve"> </w:t>
      </w:r>
      <w:r w:rsidR="00AC6A24">
        <w:t>sub</w:t>
      </w:r>
      <w:r w:rsidR="00CC707C">
        <w:t xml:space="preserve"> </w:t>
      </w:r>
      <w:r w:rsidR="007C71E0">
        <w:t>b</w:t>
      </w:r>
      <w:r w:rsidR="00CC707C">
        <w:t xml:space="preserve"> BW </w:t>
      </w:r>
      <w:r w:rsidR="00AC6A24">
        <w:t xml:space="preserve">jo. </w:t>
      </w:r>
      <w:r w:rsidR="00CC707C">
        <w:t xml:space="preserve">art. 6:234 BW, de </w:t>
      </w:r>
      <w:r w:rsidR="00F61541">
        <w:t>algemene</w:t>
      </w:r>
      <w:r w:rsidR="00CC707C">
        <w:t xml:space="preserve"> voorwaarden verstrekken </w:t>
      </w:r>
      <w:r w:rsidR="0087665B">
        <w:t>‘v</w:t>
      </w:r>
      <w:r w:rsidR="003903CA">
        <w:t>óó</w:t>
      </w:r>
      <w:r w:rsidR="0087665B">
        <w:t xml:space="preserve">r of bij het sluiten van de overeenkomst’, ongeacht of deze overeenkomst schriftelijk is of niet. </w:t>
      </w:r>
    </w:p>
    <w:p w14:paraId="02975DAC" w14:textId="7FD22D8C" w:rsidR="00B61B5E" w:rsidRPr="009B3C29" w:rsidRDefault="00B61B5E" w:rsidP="00196BD8">
      <w:pPr>
        <w:spacing w:line="276" w:lineRule="auto"/>
        <w:jc w:val="both"/>
      </w:pPr>
      <w:r>
        <w:t>De Hoge Raad overweegt dat een verwijzing naar de algemene voorwaarden</w:t>
      </w:r>
      <w:r w:rsidR="009B3C29">
        <w:t xml:space="preserve"> </w:t>
      </w:r>
      <w:r>
        <w:t>op de facturen voldoende is</w:t>
      </w:r>
      <w:r w:rsidR="00705D0F">
        <w:t xml:space="preserve"> in het geval van een schriftelijke overeenkomst</w:t>
      </w:r>
      <w:r>
        <w:t>, maar dit zal in het geval dat online algemene voorwaarden worden gebruikt niet altijd juist zijn.</w:t>
      </w:r>
      <w:r>
        <w:rPr>
          <w:rStyle w:val="Voetnootmarkering"/>
        </w:rPr>
        <w:footnoteReference w:id="79"/>
      </w:r>
      <w:r>
        <w:t xml:space="preserve"> Een verwijzing naar de website op de algemene voorwaarden is alleen juist als de facturen vóór het sluiten van een overeenkomst worden gestuurd, anders zijn de algemene voorwaarden ook niet toegankelijk vóór het sluiten van de overeenkomst.  In de praktijk worden facturen echter vaak pas toegezonden na het sluiten van een overeenkomst. </w:t>
      </w:r>
    </w:p>
    <w:p w14:paraId="50570423" w14:textId="77777777" w:rsidR="00EE6BCE" w:rsidRDefault="00CC0815" w:rsidP="00196BD8">
      <w:pPr>
        <w:spacing w:line="276" w:lineRule="auto"/>
        <w:jc w:val="both"/>
      </w:pPr>
      <w:r>
        <w:t>In de literatuur is onduidelijkheid over</w:t>
      </w:r>
      <w:r w:rsidR="00AA0B09">
        <w:t xml:space="preserve"> </w:t>
      </w:r>
      <w:r w:rsidR="0019572D">
        <w:t xml:space="preserve">de vraag </w:t>
      </w:r>
      <w:r w:rsidR="00AA0B09">
        <w:t>of bovenstaande</w:t>
      </w:r>
      <w:r w:rsidR="00C86F6D">
        <w:t xml:space="preserve"> versoepelende</w:t>
      </w:r>
      <w:r w:rsidR="00AA0B09">
        <w:t xml:space="preserve"> </w:t>
      </w:r>
      <w:r w:rsidR="00992337">
        <w:t xml:space="preserve">regeling voor dienstverrichters </w:t>
      </w:r>
      <w:r w:rsidR="00AA0B09">
        <w:t>ook geldt voor elektronische overeenkomsten.</w:t>
      </w:r>
      <w:r w:rsidR="0019572D">
        <w:rPr>
          <w:rStyle w:val="Voetnootmarkering"/>
        </w:rPr>
        <w:footnoteReference w:id="80"/>
      </w:r>
      <w:r w:rsidR="0019572D">
        <w:t xml:space="preserve"> </w:t>
      </w:r>
      <w:r w:rsidR="00AA0B09">
        <w:t xml:space="preserve"> </w:t>
      </w:r>
      <w:r w:rsidR="008B0147">
        <w:t>Art</w:t>
      </w:r>
      <w:r w:rsidR="00974B50">
        <w:t xml:space="preserve">. 10 lid </w:t>
      </w:r>
      <w:r w:rsidR="00C67249">
        <w:t>3</w:t>
      </w:r>
      <w:r w:rsidR="00974B50">
        <w:t xml:space="preserve"> Richtlijn elektronische handel</w:t>
      </w:r>
      <w:r w:rsidR="007C1695">
        <w:t xml:space="preserve"> </w:t>
      </w:r>
      <w:r w:rsidR="008B0147">
        <w:t>stelt</w:t>
      </w:r>
      <w:r w:rsidR="007C1695">
        <w:t xml:space="preserve"> </w:t>
      </w:r>
      <w:r w:rsidR="00F776C8">
        <w:t xml:space="preserve">de </w:t>
      </w:r>
      <w:r w:rsidR="007C1695">
        <w:t xml:space="preserve">eis </w:t>
      </w:r>
      <w:r w:rsidR="0019572D">
        <w:t>d</w:t>
      </w:r>
      <w:r w:rsidR="007C1695">
        <w:t xml:space="preserve">at de algemene </w:t>
      </w:r>
      <w:r w:rsidR="0081304F">
        <w:t>voorwaarden</w:t>
      </w:r>
      <w:r w:rsidR="007C1695">
        <w:t xml:space="preserve"> opgeslagen </w:t>
      </w:r>
      <w:r w:rsidR="00603D5C">
        <w:t xml:space="preserve">en weergegeven </w:t>
      </w:r>
      <w:r w:rsidR="007C1695">
        <w:t>moeten kunnen worden.</w:t>
      </w:r>
      <w:r w:rsidR="00AD3244">
        <w:t xml:space="preserve"> Afdeling 6.5.2a stelt deze eis echter niet.</w:t>
      </w:r>
      <w:r w:rsidR="007C1695">
        <w:t xml:space="preserve"> </w:t>
      </w:r>
      <w:r w:rsidR="00644A30">
        <w:t>Art. 10 lid 1 van de Richtlijn</w:t>
      </w:r>
      <w:r w:rsidR="00A4249A">
        <w:t xml:space="preserve"> geeft </w:t>
      </w:r>
      <w:r w:rsidR="00C17A2D">
        <w:t xml:space="preserve">een </w:t>
      </w:r>
      <w:r w:rsidR="00A4249A">
        <w:t xml:space="preserve">aantal informatieverplichtingen waarbij ook </w:t>
      </w:r>
      <w:r w:rsidR="00AD4D38">
        <w:t>expliciet</w:t>
      </w:r>
      <w:r w:rsidR="00A4249A">
        <w:t xml:space="preserve"> wordt aangegeven dat </w:t>
      </w:r>
      <w:r w:rsidR="00797525">
        <w:t>die informatie overhandigd dient te worden aan de wederpartij vóór het sluiten van de overeenkomst</w:t>
      </w:r>
      <w:r w:rsidR="00A4249A">
        <w:t>.</w:t>
      </w:r>
      <w:r w:rsidR="002D546A">
        <w:t xml:space="preserve"> </w:t>
      </w:r>
      <w:r w:rsidR="00CC3FE6">
        <w:t xml:space="preserve">Art. 10 lid 3 Richtlijn elektronische handel geeft echter niet aan wanneer </w:t>
      </w:r>
      <w:r w:rsidR="001157EB">
        <w:t xml:space="preserve">de informatieplicht dient te worden nagekomen; het verschil in formulering tussen de informatieplicht van lid 1 en die van lid 3 suggereert </w:t>
      </w:r>
      <w:r w:rsidR="00644A30">
        <w:t xml:space="preserve">mijns inziens </w:t>
      </w:r>
      <w:r w:rsidR="001157EB">
        <w:t>dat dit niet v</w:t>
      </w:r>
      <w:r w:rsidR="00D80E32">
        <w:t>óó</w:t>
      </w:r>
      <w:r w:rsidR="001157EB">
        <w:t>r contractsluiting behoeft te geschieden.</w:t>
      </w:r>
      <w:r w:rsidR="001157EB">
        <w:rPr>
          <w:rStyle w:val="Voetnootmarkering"/>
        </w:rPr>
        <w:footnoteReference w:id="81"/>
      </w:r>
      <w:r w:rsidR="002D546A">
        <w:t xml:space="preserve"> </w:t>
      </w:r>
      <w:r w:rsidR="00EE004F">
        <w:t xml:space="preserve"> </w:t>
      </w:r>
      <w:r w:rsidR="006B3EAC">
        <w:t xml:space="preserve">Dit </w:t>
      </w:r>
      <w:r w:rsidR="004D130A">
        <w:t>is echter niet helemaal duidelijk</w:t>
      </w:r>
      <w:r w:rsidR="006B3EAC">
        <w:t xml:space="preserve">. </w:t>
      </w:r>
      <w:r w:rsidR="00BB68B0">
        <w:t xml:space="preserve">Was dit </w:t>
      </w:r>
      <w:r w:rsidR="009E66ED">
        <w:t>wel de bedoeling geweest</w:t>
      </w:r>
      <w:r w:rsidR="00EE004F">
        <w:t xml:space="preserve"> </w:t>
      </w:r>
      <w:r w:rsidR="009E66ED">
        <w:t xml:space="preserve">van de richtlijn dan </w:t>
      </w:r>
      <w:r w:rsidR="00EE004F">
        <w:t>waren de algemene</w:t>
      </w:r>
      <w:r w:rsidR="00C7099D">
        <w:t xml:space="preserve"> voorwaarden </w:t>
      </w:r>
      <w:r w:rsidR="00BA73D3">
        <w:t xml:space="preserve">in mijn optiek </w:t>
      </w:r>
      <w:r w:rsidR="00C7099D">
        <w:t>wel opgenomen in</w:t>
      </w:r>
      <w:r w:rsidR="004A023E">
        <w:t xml:space="preserve"> de informatieplichten in</w:t>
      </w:r>
      <w:r w:rsidR="00C7099D">
        <w:t xml:space="preserve"> art. 10 lid 1 van de </w:t>
      </w:r>
      <w:r w:rsidR="00FA3BA8">
        <w:t>R</w:t>
      </w:r>
      <w:r w:rsidR="00C7099D">
        <w:t>ichtlijn</w:t>
      </w:r>
      <w:r w:rsidR="00BA73D3">
        <w:t>.</w:t>
      </w:r>
      <w:r w:rsidR="00C7099D">
        <w:t xml:space="preserve"> </w:t>
      </w:r>
    </w:p>
    <w:p w14:paraId="2647A5A9" w14:textId="2A3750DE" w:rsidR="001157EB" w:rsidRPr="00075322" w:rsidRDefault="00AD4D38" w:rsidP="00196BD8">
      <w:pPr>
        <w:spacing w:line="276" w:lineRule="auto"/>
        <w:jc w:val="both"/>
      </w:pPr>
      <w:r>
        <w:t>Daarnaast</w:t>
      </w:r>
      <w:r w:rsidR="004105DA">
        <w:t xml:space="preserve"> verdient hierbij opmerking dat de Richtlijn elektronische handel in beginsel slechts een </w:t>
      </w:r>
      <w:r w:rsidR="00F75DB6">
        <w:t>aanvulling vormt op het c</w:t>
      </w:r>
      <w:r w:rsidR="00956B31">
        <w:t xml:space="preserve">ommunautaire recht. Het is toegestaan om in een andere richtlijn of in de wet van </w:t>
      </w:r>
      <w:r w:rsidR="00556877">
        <w:t xml:space="preserve">de Richtlijn inzake elektronische handel </w:t>
      </w:r>
      <w:r w:rsidR="00956B31">
        <w:t xml:space="preserve">af te wijken </w:t>
      </w:r>
      <w:r w:rsidR="00B400FC">
        <w:t>volgens</w:t>
      </w:r>
      <w:r w:rsidR="00956B31">
        <w:t xml:space="preserve"> art. 1 lid </w:t>
      </w:r>
      <w:r w:rsidR="00F06463">
        <w:t xml:space="preserve">3 Richtlijn elektronische handel. </w:t>
      </w:r>
      <w:r w:rsidR="00462083">
        <w:t xml:space="preserve">Voor nu </w:t>
      </w:r>
      <w:r w:rsidR="00934C70">
        <w:t xml:space="preserve">lijkt het mij evident dat de letter </w:t>
      </w:r>
      <w:r w:rsidR="00934C70">
        <w:lastRenderedPageBreak/>
        <w:t>van de wet aangehouden zal worden en dat de algemene voorwaarden</w:t>
      </w:r>
      <w:r w:rsidR="00946577">
        <w:t xml:space="preserve">, </w:t>
      </w:r>
      <w:r w:rsidR="006A5165">
        <w:t xml:space="preserve">ook wanneer </w:t>
      </w:r>
      <w:r w:rsidR="00946577">
        <w:t xml:space="preserve">deze elektronisch </w:t>
      </w:r>
      <w:r w:rsidR="006A5165">
        <w:t>zijn</w:t>
      </w:r>
      <w:r w:rsidR="00946577">
        <w:t xml:space="preserve">, </w:t>
      </w:r>
      <w:r w:rsidR="006A5165">
        <w:t>vóór het sluiten van de overeenkomst of</w:t>
      </w:r>
      <w:r w:rsidR="00F919D9">
        <w:t xml:space="preserve">, wanneer ze niet schriftelijk zijn, voor </w:t>
      </w:r>
      <w:r w:rsidR="006A5165">
        <w:t>het verrichten van de dienst toegankelijk moeten worden gemaakt.</w:t>
      </w:r>
      <w:r w:rsidR="00F919D9">
        <w:t xml:space="preserve"> </w:t>
      </w:r>
    </w:p>
    <w:p w14:paraId="6EA2EF9B" w14:textId="19F44109" w:rsidR="00D12658" w:rsidRPr="00D12658" w:rsidRDefault="00283543" w:rsidP="00196BD8">
      <w:pPr>
        <w:pStyle w:val="Kop2"/>
        <w:numPr>
          <w:ilvl w:val="1"/>
          <w:numId w:val="24"/>
        </w:numPr>
        <w:spacing w:line="276" w:lineRule="auto"/>
        <w:jc w:val="both"/>
      </w:pPr>
      <w:bookmarkStart w:id="24" w:name="_Toc182382074"/>
      <w:bookmarkStart w:id="25" w:name="_Toc186375511"/>
      <w:r>
        <w:t>Tussenc</w:t>
      </w:r>
      <w:r w:rsidR="00D12658">
        <w:t>onclusie</w:t>
      </w:r>
      <w:bookmarkEnd w:id="24"/>
      <w:bookmarkEnd w:id="25"/>
      <w:r w:rsidR="00D12658">
        <w:t xml:space="preserve"> </w:t>
      </w:r>
    </w:p>
    <w:p w14:paraId="5E394B84" w14:textId="3798DB16" w:rsidR="00E92C4B" w:rsidRDefault="002531D7" w:rsidP="00196BD8">
      <w:pPr>
        <w:spacing w:line="276" w:lineRule="auto"/>
        <w:jc w:val="both"/>
      </w:pPr>
      <w:r>
        <w:t>De uitspraken uit 2018 en 2023</w:t>
      </w:r>
      <w:r w:rsidR="00D250C4">
        <w:rPr>
          <w:rStyle w:val="Voetnootmarkering"/>
        </w:rPr>
        <w:footnoteReference w:id="82"/>
      </w:r>
      <w:r>
        <w:t xml:space="preserve"> </w:t>
      </w:r>
      <w:r w:rsidR="005E312F">
        <w:t xml:space="preserve"> </w:t>
      </w:r>
      <w:r>
        <w:t xml:space="preserve">hebben bevestigd hoe breed het begrip ‘dienstverrichter’ </w:t>
      </w:r>
      <w:r w:rsidR="008830D4">
        <w:t>is.</w:t>
      </w:r>
      <w:r w:rsidR="00E92C4B">
        <w:t xml:space="preserve"> </w:t>
      </w:r>
      <w:r w:rsidR="00CE568F">
        <w:t>Detailhandel</w:t>
      </w:r>
      <w:r w:rsidR="00E92C4B">
        <w:t xml:space="preserve"> en groothandels vallen ook onder het begrip dienstverlening.</w:t>
      </w:r>
      <w:r w:rsidR="00CE568F">
        <w:t xml:space="preserve"> </w:t>
      </w:r>
      <w:r w:rsidR="008830D4">
        <w:t>Daarmee is de regeling van afdeling 6.5.2A BW inmiddels hoofdregel geworden met als gevolg dat er soepeler omgegaan kan worden met de algemene voorwaarden.</w:t>
      </w:r>
      <w:r w:rsidR="00CE568F">
        <w:t xml:space="preserve"> De regeling van art. 6:234 BW is mijns inziens daardoor een restcategorie geworden voor de </w:t>
      </w:r>
      <w:r w:rsidR="007F6D9C">
        <w:t>uitzonderingen</w:t>
      </w:r>
      <w:r w:rsidR="000B263C">
        <w:t xml:space="preserve"> genoemd in art. 2 lid 2 van de </w:t>
      </w:r>
      <w:r w:rsidR="006B7AEA">
        <w:t>D</w:t>
      </w:r>
      <w:r w:rsidR="000B263C">
        <w:t>ienstenrichtlijn</w:t>
      </w:r>
      <w:r w:rsidR="006B7AEA">
        <w:t>.</w:t>
      </w:r>
      <w:r w:rsidR="007F6D9C">
        <w:t xml:space="preserve"> </w:t>
      </w:r>
    </w:p>
    <w:p w14:paraId="71388159" w14:textId="7E19BB32" w:rsidR="008830D4" w:rsidRDefault="008830D4" w:rsidP="00196BD8">
      <w:pPr>
        <w:spacing w:line="276" w:lineRule="auto"/>
        <w:jc w:val="both"/>
      </w:pPr>
      <w:r>
        <w:t xml:space="preserve"> Art. 6:</w:t>
      </w:r>
      <w:r w:rsidR="00C47225">
        <w:t>2</w:t>
      </w:r>
      <w:r>
        <w:t xml:space="preserve">30c geeft </w:t>
      </w:r>
      <w:r w:rsidR="008D51BA">
        <w:t xml:space="preserve">vier opties om aan de informatieplicht </w:t>
      </w:r>
      <w:r w:rsidR="005F17C5">
        <w:t>opgenomen in art. 6.5.2A BW te voldoen. De gebruiker kan ervoor kiezen om de algemene voorwaarden</w:t>
      </w:r>
      <w:r>
        <w:t xml:space="preserve"> ter</w:t>
      </w:r>
      <w:r w:rsidR="005F17C5">
        <w:t xml:space="preserve"> </w:t>
      </w:r>
      <w:r>
        <w:t xml:space="preserve">hand te stellen, wat vrijwel gelijk staat aan lid 4 </w:t>
      </w:r>
      <w:r w:rsidR="00476626">
        <w:t>dat</w:t>
      </w:r>
      <w:r>
        <w:t xml:space="preserve"> als optie stelt om de algemene voorwaarden mee te zenden</w:t>
      </w:r>
      <w:r w:rsidR="00A31A31">
        <w:t xml:space="preserve"> met de rest van de documenten</w:t>
      </w:r>
      <w:r>
        <w:t>.</w:t>
      </w:r>
      <w:r w:rsidR="00A31A31">
        <w:t xml:space="preserve"> </w:t>
      </w:r>
      <w:r>
        <w:t xml:space="preserve"> Lid 2 bepaalt dat het ook voldoende is om de </w:t>
      </w:r>
      <w:r w:rsidR="00060406">
        <w:t xml:space="preserve">algemene voorwaarden ter inzage te leggen op de plaats waar de dienst wordt verricht of de overeenkomst wordt gesloten. Tot slot </w:t>
      </w:r>
      <w:r w:rsidR="0012023E">
        <w:t xml:space="preserve">is er nog de optie van lid 3 die bepaalt dat het ook voldoende is om de </w:t>
      </w:r>
      <w:r w:rsidR="006E0AC9">
        <w:t>algemene</w:t>
      </w:r>
      <w:r w:rsidR="0012023E">
        <w:t xml:space="preserve"> voorwaarden op een website ter beschikking te stellen. Zolang </w:t>
      </w:r>
      <w:r w:rsidR="0029296D">
        <w:t>de algemene voorwaarden ‘gemakkelijk toegankelijk’ zijn is er voldaan aan de laatst</w:t>
      </w:r>
      <w:r w:rsidR="001E2BCE">
        <w:t xml:space="preserve">genoemde twee opties. </w:t>
      </w:r>
    </w:p>
    <w:p w14:paraId="58C0F9A0" w14:textId="2A71C9F6" w:rsidR="001E2BCE" w:rsidRDefault="001E2BCE" w:rsidP="00196BD8">
      <w:pPr>
        <w:spacing w:line="276" w:lineRule="auto"/>
        <w:jc w:val="both"/>
      </w:pPr>
      <w:r>
        <w:t xml:space="preserve">Voor het online beschikbaar stellen betekent de term gemakkelijk toegankelijk volgens de Hoge Raad dat </w:t>
      </w:r>
      <w:r w:rsidR="006C064A">
        <w:t>de algemene voorwaarden zonder noemenswaardige inspanning gevonden moeten kunnen worden.</w:t>
      </w:r>
    </w:p>
    <w:p w14:paraId="29AF9DC0" w14:textId="52A23FCE" w:rsidR="003E7991" w:rsidRDefault="00F66A88" w:rsidP="00196BD8">
      <w:pPr>
        <w:spacing w:line="276" w:lineRule="auto"/>
        <w:jc w:val="both"/>
      </w:pPr>
      <w:r>
        <w:t>Tot slot bepaalt art. 6:230</w:t>
      </w:r>
      <w:r w:rsidRPr="00C233FD">
        <w:t>e</w:t>
      </w:r>
      <w:r>
        <w:t xml:space="preserve"> BW dat de</w:t>
      </w:r>
      <w:r w:rsidR="00AF6957">
        <w:t xml:space="preserve"> verwijzing naar de</w:t>
      </w:r>
      <w:r>
        <w:t xml:space="preserve"> algemene voorwaarden voor het sluiten van de overeenkomst moeten worden </w:t>
      </w:r>
      <w:r w:rsidR="00C436AB">
        <w:t>verstrekt in het geval van een schriftelijke overeenkomst. Bij niet-schriftelijke overeenkomsten dient dit te gebeuren v</w:t>
      </w:r>
      <w:r w:rsidR="006A6B8C">
        <w:t>óó</w:t>
      </w:r>
      <w:r w:rsidR="00C436AB">
        <w:t xml:space="preserve">r het </w:t>
      </w:r>
      <w:r w:rsidR="006A6B8C">
        <w:t>verrichten</w:t>
      </w:r>
      <w:r w:rsidR="00C436AB">
        <w:t xml:space="preserve"> van de dienst</w:t>
      </w:r>
      <w:r w:rsidR="006A6B8C">
        <w:t xml:space="preserve">. Het is echter onduidelijk of deze versoepeling ook geldt </w:t>
      </w:r>
      <w:r w:rsidR="001B1251">
        <w:t>voor onl</w:t>
      </w:r>
      <w:r w:rsidR="005E312F">
        <w:t>i</w:t>
      </w:r>
      <w:r w:rsidR="001B1251">
        <w:t xml:space="preserve">ne </w:t>
      </w:r>
      <w:r w:rsidR="006A1F02">
        <w:t>g</w:t>
      </w:r>
      <w:r w:rsidR="001B1251">
        <w:t xml:space="preserve">esloten overeenkomsten. </w:t>
      </w:r>
    </w:p>
    <w:p w14:paraId="771C2C74" w14:textId="34FCAE84" w:rsidR="00332CA2" w:rsidRDefault="00332CA2" w:rsidP="00332CA2">
      <w:pPr>
        <w:pStyle w:val="Kop1"/>
        <w:numPr>
          <w:ilvl w:val="0"/>
          <w:numId w:val="24"/>
        </w:numPr>
        <w:spacing w:line="276" w:lineRule="auto"/>
        <w:jc w:val="both"/>
      </w:pPr>
      <w:bookmarkStart w:id="26" w:name="_Toc182382080"/>
      <w:bookmarkStart w:id="27" w:name="_Toc186375512"/>
      <w:r>
        <w:lastRenderedPageBreak/>
        <w:t xml:space="preserve">Hoofdstuk 4 – verschillen tussen en kritiek op </w:t>
      </w:r>
      <w:bookmarkEnd w:id="26"/>
      <w:r>
        <w:t>art. 6:230c en art. 6:234 BW</w:t>
      </w:r>
      <w:bookmarkEnd w:id="27"/>
    </w:p>
    <w:p w14:paraId="0EE24492" w14:textId="3F93B82C" w:rsidR="00332CA2" w:rsidRPr="003D2B43" w:rsidRDefault="00332CA2" w:rsidP="00332CA2">
      <w:pPr>
        <w:pStyle w:val="Kop2"/>
        <w:numPr>
          <w:ilvl w:val="1"/>
          <w:numId w:val="3"/>
        </w:numPr>
        <w:spacing w:line="276" w:lineRule="auto"/>
        <w:jc w:val="both"/>
      </w:pPr>
      <w:bookmarkStart w:id="28" w:name="_Toc182382081"/>
      <w:bookmarkStart w:id="29" w:name="_Toc186375513"/>
      <w:r>
        <w:t>Praktische verschillen tussen de informatieplichten voor algemene voorwaarden in Nederland</w:t>
      </w:r>
      <w:bookmarkEnd w:id="28"/>
      <w:bookmarkEnd w:id="29"/>
    </w:p>
    <w:p w14:paraId="2488BBB5" w14:textId="679B383B" w:rsidR="00A1542C" w:rsidRDefault="00332CA2" w:rsidP="00332CA2">
      <w:pPr>
        <w:spacing w:line="276" w:lineRule="auto"/>
        <w:jc w:val="both"/>
      </w:pPr>
      <w:r>
        <w:t xml:space="preserve">Het belangrijkste verschil tussen de twee </w:t>
      </w:r>
      <w:r w:rsidR="00A1542C">
        <w:t xml:space="preserve">Nederlandse </w:t>
      </w:r>
      <w:r>
        <w:t>regelingen</w:t>
      </w:r>
      <w:r w:rsidR="00A1542C">
        <w:t xml:space="preserve"> voor terhandstelling van de algemene voorwaarden</w:t>
      </w:r>
      <w:r>
        <w:t xml:space="preserve"> is dat dienstverrichters niet gehouden zijn om de algemene voorwaarden te verstrekken</w:t>
      </w:r>
      <w:r w:rsidR="00A1542C">
        <w:t>. Dienstverrichters hoeven daarnaast niet te voldoen aan het opslag- en toegankelijkheidsvereiste</w:t>
      </w:r>
      <w:r>
        <w:t xml:space="preserve">; voldoende is dat zij de algemene voorwaarden toegankelijk maken. </w:t>
      </w:r>
      <w:r w:rsidR="00A1542C">
        <w:t xml:space="preserve">Voor een uitgebreidere bespreking van </w:t>
      </w:r>
      <w:r w:rsidR="005E312F">
        <w:t>deze</w:t>
      </w:r>
      <w:r w:rsidR="00A1542C">
        <w:t xml:space="preserve"> onderwerp</w:t>
      </w:r>
      <w:r w:rsidR="005E312F">
        <w:t>en</w:t>
      </w:r>
      <w:r w:rsidR="00A1542C">
        <w:t xml:space="preserve"> zie hoofdstuk 2 en 3. </w:t>
      </w:r>
    </w:p>
    <w:p w14:paraId="5C907775" w14:textId="25A8EA7D" w:rsidR="00332CA2" w:rsidRDefault="00A1542C" w:rsidP="00332CA2">
      <w:pPr>
        <w:spacing w:line="276" w:lineRule="auto"/>
        <w:jc w:val="both"/>
      </w:pPr>
      <w:r>
        <w:t>Zoals eerder besproken in paragraaf 2.3.4. staat d</w:t>
      </w:r>
      <w:r w:rsidR="00332CA2">
        <w:t xml:space="preserve">e optie tot elektronische terhandstelling van de algemene voorwaarden bij offlineovereenkomsten voor niet-dienstverrichters slechts vrij indien er sprake is van uitdrukkelijke instemming door de wederpartij volgens art. 6:234 lid 3 BW.  Voor de dienstverrichter </w:t>
      </w:r>
      <w:r w:rsidR="00527209">
        <w:t>is</w:t>
      </w:r>
      <w:r w:rsidR="00332CA2">
        <w:t xml:space="preserve"> het online ter beschikking stellen </w:t>
      </w:r>
      <w:r w:rsidR="00527209">
        <w:t>van de algemene voorwaarden altijd een optie.</w:t>
      </w:r>
    </w:p>
    <w:p w14:paraId="173CDC08" w14:textId="55EB40F2" w:rsidR="00332CA2" w:rsidRDefault="00332CA2" w:rsidP="00332CA2">
      <w:pPr>
        <w:spacing w:line="276" w:lineRule="auto"/>
        <w:jc w:val="both"/>
        <w:rPr>
          <w:color w:val="000000" w:themeColor="text1"/>
        </w:rPr>
      </w:pPr>
      <w:r>
        <w:rPr>
          <w:color w:val="000000" w:themeColor="text1"/>
        </w:rPr>
        <w:t>Tot slot</w:t>
      </w:r>
      <w:r w:rsidRPr="00A2387A">
        <w:rPr>
          <w:color w:val="000000" w:themeColor="text1"/>
        </w:rPr>
        <w:t xml:space="preserve"> </w:t>
      </w:r>
      <w:r w:rsidR="00A1542C">
        <w:rPr>
          <w:color w:val="000000" w:themeColor="text1"/>
        </w:rPr>
        <w:t>geldt er voor dienstverrichters een soepelere regeling voor het moment van terhandstelling van de algemene voorwaarden dan voor niet-dienstverrichters. Dit onderwerp is nader besproken in paragraaf 3.4.</w:t>
      </w:r>
    </w:p>
    <w:p w14:paraId="14D1CC9E" w14:textId="77777777" w:rsidR="00332CA2" w:rsidRDefault="00332CA2" w:rsidP="00332CA2">
      <w:pPr>
        <w:spacing w:line="276" w:lineRule="auto"/>
        <w:jc w:val="both"/>
        <w:rPr>
          <w:color w:val="000000" w:themeColor="text1"/>
        </w:rPr>
      </w:pPr>
      <w:r>
        <w:rPr>
          <w:color w:val="000000" w:themeColor="text1"/>
        </w:rPr>
        <w:t>Tabel 2 geeft een kort schematisch overzicht van de verschillen tussen de twee regelingen.</w:t>
      </w:r>
    </w:p>
    <w:tbl>
      <w:tblPr>
        <w:tblStyle w:val="Rastertabel1licht"/>
        <w:tblW w:w="0" w:type="auto"/>
        <w:tblLook w:val="04A0" w:firstRow="1" w:lastRow="0" w:firstColumn="1" w:lastColumn="0" w:noHBand="0" w:noVBand="1"/>
      </w:tblPr>
      <w:tblGrid>
        <w:gridCol w:w="2304"/>
        <w:gridCol w:w="3553"/>
        <w:gridCol w:w="3205"/>
      </w:tblGrid>
      <w:tr w:rsidR="00332CA2" w14:paraId="3A25B74B" w14:textId="77777777" w:rsidTr="001267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4" w:type="dxa"/>
          </w:tcPr>
          <w:p w14:paraId="4FA3753B" w14:textId="77777777" w:rsidR="00332CA2" w:rsidRPr="00364F63" w:rsidRDefault="00332CA2" w:rsidP="00126727">
            <w:pPr>
              <w:spacing w:line="276" w:lineRule="auto"/>
              <w:jc w:val="center"/>
              <w:rPr>
                <w:color w:val="000000" w:themeColor="text1"/>
              </w:rPr>
            </w:pPr>
          </w:p>
        </w:tc>
        <w:tc>
          <w:tcPr>
            <w:tcW w:w="3553" w:type="dxa"/>
          </w:tcPr>
          <w:p w14:paraId="4CD53C3D" w14:textId="77777777" w:rsidR="00332CA2" w:rsidRPr="00364F63" w:rsidRDefault="00332CA2" w:rsidP="00126727">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rPr>
            </w:pPr>
            <w:r w:rsidRPr="00364F63">
              <w:rPr>
                <w:color w:val="000000" w:themeColor="text1"/>
              </w:rPr>
              <w:t>Artikel 6:23</w:t>
            </w:r>
            <w:r>
              <w:rPr>
                <w:color w:val="000000" w:themeColor="text1"/>
              </w:rPr>
              <w:t>4</w:t>
            </w:r>
            <w:r w:rsidRPr="00364F63">
              <w:rPr>
                <w:color w:val="000000" w:themeColor="text1"/>
              </w:rPr>
              <w:t xml:space="preserve"> BW</w:t>
            </w:r>
          </w:p>
        </w:tc>
        <w:tc>
          <w:tcPr>
            <w:tcW w:w="3205" w:type="dxa"/>
          </w:tcPr>
          <w:p w14:paraId="2B74C7E7" w14:textId="77777777" w:rsidR="00332CA2" w:rsidRPr="00364F63" w:rsidRDefault="00332CA2" w:rsidP="00126727">
            <w:pPr>
              <w:spacing w:line="276" w:lineRule="auto"/>
              <w:jc w:val="both"/>
              <w:cnfStyle w:val="100000000000" w:firstRow="1" w:lastRow="0" w:firstColumn="0" w:lastColumn="0" w:oddVBand="0" w:evenVBand="0" w:oddHBand="0" w:evenHBand="0" w:firstRowFirstColumn="0" w:firstRowLastColumn="0" w:lastRowFirstColumn="0" w:lastRowLastColumn="0"/>
              <w:rPr>
                <w:color w:val="000000" w:themeColor="text1"/>
              </w:rPr>
            </w:pPr>
            <w:r w:rsidRPr="00364F63">
              <w:rPr>
                <w:color w:val="000000" w:themeColor="text1"/>
              </w:rPr>
              <w:t>Artikel 6:23</w:t>
            </w:r>
            <w:r>
              <w:rPr>
                <w:color w:val="000000" w:themeColor="text1"/>
              </w:rPr>
              <w:t xml:space="preserve">0c </w:t>
            </w:r>
            <w:r w:rsidRPr="00364F63">
              <w:rPr>
                <w:color w:val="000000" w:themeColor="text1"/>
              </w:rPr>
              <w:t>BW</w:t>
            </w:r>
          </w:p>
        </w:tc>
      </w:tr>
      <w:tr w:rsidR="00332CA2" w14:paraId="4A15BDEC" w14:textId="77777777" w:rsidTr="00126727">
        <w:tc>
          <w:tcPr>
            <w:cnfStyle w:val="001000000000" w:firstRow="0" w:lastRow="0" w:firstColumn="1" w:lastColumn="0" w:oddVBand="0" w:evenVBand="0" w:oddHBand="0" w:evenHBand="0" w:firstRowFirstColumn="0" w:firstRowLastColumn="0" w:lastRowFirstColumn="0" w:lastRowLastColumn="0"/>
            <w:tcW w:w="2304" w:type="dxa"/>
          </w:tcPr>
          <w:p w14:paraId="53F591EF" w14:textId="77777777" w:rsidR="00332CA2" w:rsidRPr="005E2FC8" w:rsidRDefault="00332CA2" w:rsidP="00126727">
            <w:pPr>
              <w:spacing w:line="276" w:lineRule="auto"/>
              <w:jc w:val="both"/>
              <w:rPr>
                <w:color w:val="000000" w:themeColor="text1"/>
              </w:rPr>
            </w:pPr>
            <w:r>
              <w:rPr>
                <w:color w:val="000000" w:themeColor="text1"/>
              </w:rPr>
              <w:t>Wijze van terhandstelling</w:t>
            </w:r>
          </w:p>
        </w:tc>
        <w:tc>
          <w:tcPr>
            <w:tcW w:w="3553" w:type="dxa"/>
          </w:tcPr>
          <w:p w14:paraId="0EEC67ED" w14:textId="77777777" w:rsidR="00332CA2" w:rsidRPr="005E2FC8"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sidRPr="005E2FC8">
              <w:rPr>
                <w:color w:val="000000" w:themeColor="text1"/>
              </w:rPr>
              <w:t xml:space="preserve">Onlineovereenkomsten </w:t>
            </w:r>
            <w:r w:rsidRPr="005E2FC8">
              <w:rPr>
                <w:color w:val="000000" w:themeColor="text1"/>
              </w:rPr>
              <w:sym w:font="Wingdings" w:char="F0E0"/>
            </w:r>
            <w:r w:rsidRPr="005E2FC8">
              <w:rPr>
                <w:color w:val="000000" w:themeColor="text1"/>
              </w:rPr>
              <w:t xml:space="preserve"> algemene voorwaarden elektronisch verstrekken</w:t>
            </w:r>
          </w:p>
          <w:p w14:paraId="1E5BAA5E" w14:textId="77777777" w:rsidR="00332CA2" w:rsidRPr="005E2FC8"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sidRPr="005E2FC8">
              <w:rPr>
                <w:color w:val="000000" w:themeColor="text1"/>
              </w:rPr>
              <w:t xml:space="preserve">Offlineovereenkomsten </w:t>
            </w:r>
            <w:r w:rsidRPr="005E2FC8">
              <w:rPr>
                <w:color w:val="000000" w:themeColor="text1"/>
              </w:rPr>
              <w:sym w:font="Wingdings" w:char="F0E0"/>
            </w:r>
            <w:r w:rsidRPr="005E2FC8">
              <w:rPr>
                <w:color w:val="000000" w:themeColor="text1"/>
              </w:rPr>
              <w:t xml:space="preserve"> algemene voorwaarden elektronisch verstrekken mits uitdrukkelijk toestemming</w:t>
            </w:r>
          </w:p>
        </w:tc>
        <w:tc>
          <w:tcPr>
            <w:tcW w:w="3205" w:type="dxa"/>
          </w:tcPr>
          <w:p w14:paraId="3DA3A5A0" w14:textId="77777777" w:rsidR="00332CA2" w:rsidRPr="005E2FC8"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Algemene voorwaarden (online) toegankelijk maken is voldoende </w:t>
            </w:r>
          </w:p>
        </w:tc>
      </w:tr>
      <w:tr w:rsidR="00332CA2" w14:paraId="31AA68AA" w14:textId="77777777" w:rsidTr="00126727">
        <w:tc>
          <w:tcPr>
            <w:cnfStyle w:val="001000000000" w:firstRow="0" w:lastRow="0" w:firstColumn="1" w:lastColumn="0" w:oddVBand="0" w:evenVBand="0" w:oddHBand="0" w:evenHBand="0" w:firstRowFirstColumn="0" w:firstRowLastColumn="0" w:lastRowFirstColumn="0" w:lastRowLastColumn="0"/>
            <w:tcW w:w="2304" w:type="dxa"/>
          </w:tcPr>
          <w:p w14:paraId="3F23D58F" w14:textId="77777777" w:rsidR="00332CA2" w:rsidRDefault="00332CA2" w:rsidP="00126727">
            <w:pPr>
              <w:spacing w:line="276" w:lineRule="auto"/>
              <w:jc w:val="both"/>
              <w:rPr>
                <w:color w:val="000000" w:themeColor="text1"/>
              </w:rPr>
            </w:pPr>
            <w:r>
              <w:rPr>
                <w:color w:val="000000" w:themeColor="text1"/>
              </w:rPr>
              <w:t>Moment van terhandstelling</w:t>
            </w:r>
          </w:p>
        </w:tc>
        <w:tc>
          <w:tcPr>
            <w:tcW w:w="3553" w:type="dxa"/>
          </w:tcPr>
          <w:p w14:paraId="5CC4AC15" w14:textId="77777777" w:rsidR="00332CA2"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Pr>
                <w:color w:val="000000" w:themeColor="text1"/>
              </w:rPr>
              <w:t>Terhandstelling vóór of tijdens het sluiten van de overeenkomst</w:t>
            </w:r>
          </w:p>
        </w:tc>
        <w:tc>
          <w:tcPr>
            <w:tcW w:w="3205" w:type="dxa"/>
          </w:tcPr>
          <w:p w14:paraId="000A995E" w14:textId="77777777" w:rsidR="00332CA2" w:rsidRPr="008200E9"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Onder omstandigheden is verstrekking vóór het uitvoeren van een dienst voldoende</w:t>
            </w:r>
          </w:p>
        </w:tc>
      </w:tr>
      <w:tr w:rsidR="00332CA2" w14:paraId="3AC0D2BE" w14:textId="77777777" w:rsidTr="00126727">
        <w:tc>
          <w:tcPr>
            <w:cnfStyle w:val="001000000000" w:firstRow="0" w:lastRow="0" w:firstColumn="1" w:lastColumn="0" w:oddVBand="0" w:evenVBand="0" w:oddHBand="0" w:evenHBand="0" w:firstRowFirstColumn="0" w:firstRowLastColumn="0" w:lastRowFirstColumn="0" w:lastRowLastColumn="0"/>
            <w:tcW w:w="2304" w:type="dxa"/>
          </w:tcPr>
          <w:p w14:paraId="717E2077" w14:textId="77777777" w:rsidR="00332CA2" w:rsidRDefault="00332CA2" w:rsidP="00126727">
            <w:pPr>
              <w:spacing w:line="276" w:lineRule="auto"/>
              <w:jc w:val="both"/>
              <w:rPr>
                <w:color w:val="000000" w:themeColor="text1"/>
              </w:rPr>
            </w:pPr>
            <w:r>
              <w:rPr>
                <w:color w:val="000000" w:themeColor="text1"/>
              </w:rPr>
              <w:t xml:space="preserve">Opslagvereiste </w:t>
            </w:r>
          </w:p>
        </w:tc>
        <w:tc>
          <w:tcPr>
            <w:tcW w:w="3553" w:type="dxa"/>
          </w:tcPr>
          <w:p w14:paraId="0EB0737D" w14:textId="77777777" w:rsidR="00332CA2"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Pr>
                <w:color w:val="000000" w:themeColor="text1"/>
              </w:rPr>
              <w:t>Opslagvereiste</w:t>
            </w:r>
          </w:p>
        </w:tc>
        <w:tc>
          <w:tcPr>
            <w:tcW w:w="3205" w:type="dxa"/>
          </w:tcPr>
          <w:p w14:paraId="224B3870" w14:textId="77777777" w:rsidR="00332CA2" w:rsidRPr="00DB0164"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Geen opslagvereiste</w:t>
            </w:r>
          </w:p>
        </w:tc>
      </w:tr>
      <w:tr w:rsidR="00332CA2" w14:paraId="396E6EFA" w14:textId="77777777" w:rsidTr="00126727">
        <w:tc>
          <w:tcPr>
            <w:cnfStyle w:val="001000000000" w:firstRow="0" w:lastRow="0" w:firstColumn="1" w:lastColumn="0" w:oddVBand="0" w:evenVBand="0" w:oddHBand="0" w:evenHBand="0" w:firstRowFirstColumn="0" w:firstRowLastColumn="0" w:lastRowFirstColumn="0" w:lastRowLastColumn="0"/>
            <w:tcW w:w="2304" w:type="dxa"/>
          </w:tcPr>
          <w:p w14:paraId="12618364" w14:textId="77777777" w:rsidR="00332CA2" w:rsidRDefault="00332CA2" w:rsidP="00126727">
            <w:pPr>
              <w:spacing w:line="276" w:lineRule="auto"/>
              <w:jc w:val="both"/>
              <w:rPr>
                <w:color w:val="000000" w:themeColor="text1"/>
              </w:rPr>
            </w:pPr>
            <w:r>
              <w:rPr>
                <w:color w:val="000000" w:themeColor="text1"/>
              </w:rPr>
              <w:t xml:space="preserve">Sanctie </w:t>
            </w:r>
          </w:p>
        </w:tc>
        <w:tc>
          <w:tcPr>
            <w:tcW w:w="3553" w:type="dxa"/>
          </w:tcPr>
          <w:p w14:paraId="41FA47EE" w14:textId="77777777" w:rsidR="00332CA2"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Pr>
                <w:color w:val="000000" w:themeColor="text1"/>
              </w:rPr>
              <w:t>Vernietigbaarheid als sanctie</w:t>
            </w:r>
          </w:p>
        </w:tc>
        <w:tc>
          <w:tcPr>
            <w:tcW w:w="3205" w:type="dxa"/>
          </w:tcPr>
          <w:p w14:paraId="39A63C92" w14:textId="77777777" w:rsidR="00332CA2" w:rsidRPr="00BC06BB" w:rsidRDefault="00332CA2" w:rsidP="00126727">
            <w:pPr>
              <w:spacing w:line="276"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Geen expliciet in de wet geregelde sanctie </w:t>
            </w:r>
          </w:p>
        </w:tc>
      </w:tr>
      <w:tr w:rsidR="00332CA2" w14:paraId="1E0894AF" w14:textId="77777777" w:rsidTr="00126727">
        <w:tc>
          <w:tcPr>
            <w:cnfStyle w:val="001000000000" w:firstRow="0" w:lastRow="0" w:firstColumn="1" w:lastColumn="0" w:oddVBand="0" w:evenVBand="0" w:oddHBand="0" w:evenHBand="0" w:firstRowFirstColumn="0" w:firstRowLastColumn="0" w:lastRowFirstColumn="0" w:lastRowLastColumn="0"/>
            <w:tcW w:w="2304" w:type="dxa"/>
          </w:tcPr>
          <w:p w14:paraId="5CA440AA" w14:textId="14E26F23" w:rsidR="00332CA2" w:rsidRDefault="00536478" w:rsidP="00126727">
            <w:pPr>
              <w:spacing w:line="276" w:lineRule="auto"/>
              <w:jc w:val="both"/>
              <w:rPr>
                <w:color w:val="000000" w:themeColor="text1"/>
              </w:rPr>
            </w:pPr>
            <w:r>
              <w:rPr>
                <w:color w:val="000000" w:themeColor="text1"/>
              </w:rPr>
              <w:lastRenderedPageBreak/>
              <w:t>Wettelijke u</w:t>
            </w:r>
            <w:r w:rsidR="00332CA2">
              <w:rPr>
                <w:color w:val="000000" w:themeColor="text1"/>
              </w:rPr>
              <w:t xml:space="preserve">itzonderingen </w:t>
            </w:r>
          </w:p>
        </w:tc>
        <w:tc>
          <w:tcPr>
            <w:tcW w:w="3553" w:type="dxa"/>
          </w:tcPr>
          <w:p w14:paraId="24519D6A" w14:textId="58EFDFD0" w:rsidR="00332CA2" w:rsidRPr="008707D6" w:rsidRDefault="00D42507" w:rsidP="00126727">
            <w:pPr>
              <w:spacing w:line="276" w:lineRule="auto"/>
              <w:jc w:val="both"/>
              <w:cnfStyle w:val="000000000000" w:firstRow="0" w:lastRow="0" w:firstColumn="0" w:lastColumn="0" w:oddVBand="0" w:evenVBand="0" w:oddHBand="0" w:evenHBand="0" w:firstRowFirstColumn="0" w:firstRowLastColumn="0" w:lastRowFirstColumn="0" w:lastRowLastColumn="0"/>
              <w:rPr>
                <w:b/>
                <w:bCs/>
                <w:color w:val="000000" w:themeColor="text1"/>
              </w:rPr>
            </w:pPr>
            <w:r>
              <w:rPr>
                <w:color w:val="000000" w:themeColor="text1"/>
              </w:rPr>
              <w:t>Kent een uitzondering voor onder andere grote wederpartijen</w:t>
            </w:r>
          </w:p>
        </w:tc>
        <w:tc>
          <w:tcPr>
            <w:tcW w:w="3205" w:type="dxa"/>
          </w:tcPr>
          <w:p w14:paraId="6A10B54F" w14:textId="37A7AB37" w:rsidR="00332CA2" w:rsidRDefault="00D42507" w:rsidP="00126727">
            <w:pPr>
              <w:spacing w:line="276" w:lineRule="auto"/>
              <w:jc w:val="both"/>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Kent geen wettelijke uitzondering</w:t>
            </w:r>
          </w:p>
        </w:tc>
      </w:tr>
    </w:tbl>
    <w:p w14:paraId="4A3CB027" w14:textId="77777777" w:rsidR="00332CA2" w:rsidRPr="00A2387A" w:rsidRDefault="00332CA2" w:rsidP="00332CA2">
      <w:pPr>
        <w:pStyle w:val="Bijschrift"/>
        <w:rPr>
          <w:b/>
          <w:bCs/>
          <w:color w:val="000000" w:themeColor="text1"/>
        </w:rPr>
      </w:pPr>
      <w:r>
        <w:t xml:space="preserve">Tabel </w:t>
      </w:r>
      <w:fldSimple w:instr=" SEQ Tabel \* ARABIC ">
        <w:r>
          <w:rPr>
            <w:noProof/>
          </w:rPr>
          <w:t>2</w:t>
        </w:r>
      </w:fldSimple>
    </w:p>
    <w:p w14:paraId="153E92F3" w14:textId="77777777" w:rsidR="00332CA2" w:rsidRDefault="00332CA2" w:rsidP="00332CA2">
      <w:pPr>
        <w:pStyle w:val="Kop2"/>
        <w:numPr>
          <w:ilvl w:val="1"/>
          <w:numId w:val="3"/>
        </w:numPr>
        <w:spacing w:line="276" w:lineRule="auto"/>
        <w:jc w:val="both"/>
      </w:pPr>
      <w:bookmarkStart w:id="30" w:name="_Toc182382082"/>
      <w:bookmarkStart w:id="31" w:name="_Toc186375514"/>
      <w:r>
        <w:t>Problematiek van artikel 6:234 BW</w:t>
      </w:r>
      <w:bookmarkEnd w:id="30"/>
      <w:bookmarkEnd w:id="31"/>
    </w:p>
    <w:p w14:paraId="1C983265" w14:textId="4C254696" w:rsidR="00332CA2" w:rsidRDefault="00332CA2" w:rsidP="00332CA2">
      <w:pPr>
        <w:spacing w:line="276" w:lineRule="auto"/>
        <w:jc w:val="both"/>
      </w:pPr>
      <w:r>
        <w:t>In de literatuur wordt door verschillende auteurs gesteld dat de informatieplicht van art. 6:234 BW een te zware last legt op de gebruiker.</w:t>
      </w:r>
      <w:r>
        <w:rPr>
          <w:rStyle w:val="Voetnootmarkering"/>
        </w:rPr>
        <w:footnoteReference w:id="83"/>
      </w:r>
      <w:r>
        <w:t xml:space="preserve">  Er wordt onder andere gezegd dat de informatieplicht onevenredig zwaar is aangezien het zwaartepunt van afdeling 6.5.3. (waar art. 6:233 en 6:234 BW onder vallen) ligt bij een inhoudelijke toetsing van de toepasselijkheid van de voorwaarden en niet bij het stellen van harde eisen hieraan.</w:t>
      </w:r>
      <w:r>
        <w:rPr>
          <w:rStyle w:val="Voetnootmarkering"/>
        </w:rPr>
        <w:footnoteReference w:id="84"/>
      </w:r>
      <w:r>
        <w:t xml:space="preserve"> Daarnaast vindt onder andere </w:t>
      </w:r>
      <w:proofErr w:type="spellStart"/>
      <w:r>
        <w:t>Schaub</w:t>
      </w:r>
      <w:proofErr w:type="spellEnd"/>
      <w:r>
        <w:t xml:space="preserve"> dat de regeling zoals deze nu is te veel praktische drempels en bewijsproblematiek meebrengt. Daarmee is hij te knellend voor de praktijk. De regeling is te strikt, mede door het limitatieve karakter.</w:t>
      </w:r>
      <w:r w:rsidR="00D51B6E">
        <w:t xml:space="preserve"> Deze praktische drempels zijn nader besproken in hoofdstuk 1. </w:t>
      </w:r>
      <w:r>
        <w:rPr>
          <w:rStyle w:val="Voetnootmarkering"/>
        </w:rPr>
        <w:footnoteReference w:id="85"/>
      </w:r>
    </w:p>
    <w:p w14:paraId="15D2166C" w14:textId="77777777" w:rsidR="00332CA2" w:rsidRDefault="00332CA2" w:rsidP="00332CA2">
      <w:pPr>
        <w:spacing w:line="276" w:lineRule="auto"/>
        <w:jc w:val="both"/>
      </w:pPr>
      <w:r>
        <w:t>Er wordt in de literatuur bepleit dat de limitatieve opsomming van art. 6:234 BW in combinatie met art. 6:233 sub b BW niet het doel van de regeling dient.  De regeling is nu in feite slechts een terhandstellingsverplichting. Er wordt vaak niet voldaan aan het besluitvormingsbelang van de regeling. De algemene voorwaarden worden immers, zelfs als ze op de juiste wijze ter hand worden gesteld, zelden gelezen door de wederpartij. Als ze al worden gelezen dan is er nog het probleem dat er geen reële keuze bestaat voor de wederpartij om de algemene voorwaarden niet te aanvaarden.</w:t>
      </w:r>
      <w:r>
        <w:rPr>
          <w:rStyle w:val="Voetnootmarkering"/>
        </w:rPr>
        <w:footnoteReference w:id="86"/>
      </w:r>
      <w:r>
        <w:t xml:space="preserve"> Accepteert de wederpartij ze immers niet, dan gaat de hele overeenkomst veelal niet door.  Loos stelt mijns inziens dan ook terecht dat er bij een tijdige en juiste overhandiging lang niet altijd sprake is van </w:t>
      </w:r>
      <w:proofErr w:type="spellStart"/>
      <w:r w:rsidRPr="00867BCA">
        <w:rPr>
          <w:i/>
          <w:iCs/>
        </w:rPr>
        <w:t>informed</w:t>
      </w:r>
      <w:proofErr w:type="spellEnd"/>
      <w:r>
        <w:t xml:space="preserve"> </w:t>
      </w:r>
      <w:r w:rsidRPr="00867BCA">
        <w:rPr>
          <w:i/>
          <w:iCs/>
        </w:rPr>
        <w:t>consent</w:t>
      </w:r>
      <w:r>
        <w:t>, ook al zijn de algemene voorwaarden op de juiste wijze overhandigd.</w:t>
      </w:r>
      <w:r>
        <w:rPr>
          <w:rStyle w:val="Voetnootmarkering"/>
        </w:rPr>
        <w:footnoteReference w:id="87"/>
      </w:r>
      <w:r>
        <w:t xml:space="preserve"> </w:t>
      </w:r>
    </w:p>
    <w:p w14:paraId="37B2FCE2" w14:textId="77777777" w:rsidR="00332CA2" w:rsidRDefault="00332CA2" w:rsidP="00332CA2">
      <w:pPr>
        <w:spacing w:line="276" w:lineRule="auto"/>
        <w:jc w:val="both"/>
      </w:pPr>
      <w:r>
        <w:t>Deze strenge wetgeving van art. 6:234 BW vasthouden, wetende dat de algemene voorwaarden in veel gevallen toch niet worden gelezen, is mijns inziens weinig zinvol. Nu het vooraf ter hand stellen van de algemene voorwaarden over het algemeen toch niet het besluitvormingsbelang dient, lijkt het Schelhaas louter nuttig dat de wederpartij de mogelijkheid moet hebben om op enig moment de algemene voorwaarden te kunnen raadplegen of eenvoudig op te vragen.</w:t>
      </w:r>
      <w:r>
        <w:rPr>
          <w:rStyle w:val="Voetnootmarkering"/>
        </w:rPr>
        <w:footnoteReference w:id="88"/>
      </w:r>
      <w:r>
        <w:t xml:space="preserve"> Art. 6:234 BW is slechts een uitwerking van art. 6:233 sub b BW dat bepaalt dat er een redelijke mogelijkheid tot kennisname van de algemene voorwaarden moet zijn. Zo stellen Cohen </w:t>
      </w:r>
      <w:proofErr w:type="spellStart"/>
      <w:r>
        <w:t>Tervaert</w:t>
      </w:r>
      <w:proofErr w:type="spellEnd"/>
      <w:r>
        <w:t xml:space="preserve"> en Jongeneel ook terecht dat: “</w:t>
      </w:r>
      <w:r w:rsidRPr="00294A6B">
        <w:rPr>
          <w:i/>
          <w:iCs/>
        </w:rPr>
        <w:t xml:space="preserve">Een duidelijke verwijzing naar algemene voorwaarden de wederpartij precies evenveel </w:t>
      </w:r>
      <w:r w:rsidRPr="00294A6B">
        <w:rPr>
          <w:i/>
          <w:iCs/>
        </w:rPr>
        <w:lastRenderedPageBreak/>
        <w:t>bewustzijn op</w:t>
      </w:r>
      <w:r>
        <w:rPr>
          <w:i/>
          <w:iCs/>
        </w:rPr>
        <w:t>levert</w:t>
      </w:r>
      <w:r w:rsidRPr="00294A6B">
        <w:rPr>
          <w:i/>
          <w:iCs/>
        </w:rPr>
        <w:t xml:space="preserve"> van de juridische belemmering die verkopers e.d. voor haar in </w:t>
      </w:r>
      <w:proofErr w:type="spellStart"/>
      <w:r w:rsidRPr="00294A6B">
        <w:rPr>
          <w:i/>
          <w:iCs/>
        </w:rPr>
        <w:t>petto</w:t>
      </w:r>
      <w:proofErr w:type="spellEnd"/>
      <w:r w:rsidRPr="00294A6B">
        <w:rPr>
          <w:i/>
          <w:iCs/>
        </w:rPr>
        <w:t xml:space="preserve"> hebben als de terhandstelling</w:t>
      </w:r>
      <w:r>
        <w:t>.”</w:t>
      </w:r>
      <w:r>
        <w:rPr>
          <w:rStyle w:val="Voetnootmarkering"/>
        </w:rPr>
        <w:footnoteReference w:id="89"/>
      </w:r>
      <w:r>
        <w:t xml:space="preserve"> Naar mijn overtuiging is het dan ook onnodig dat de algemene voorwaarden nog daadwerkelijk verstrekt dienen te worden. Als wederpartijen het van belang vinden de algemene voorwaarden in te zien, kan dit net zo gemakkelijk met een duidelijke verwijzing. </w:t>
      </w:r>
    </w:p>
    <w:p w14:paraId="689C4729" w14:textId="669C201A" w:rsidR="00332CA2" w:rsidRDefault="00332CA2" w:rsidP="00332CA2">
      <w:pPr>
        <w:spacing w:line="276" w:lineRule="auto"/>
        <w:jc w:val="both"/>
      </w:pPr>
      <w:r>
        <w:t xml:space="preserve">Voor offlineovereenkomsten wordt de wederpartij </w:t>
      </w:r>
      <w:r w:rsidR="00D51B6E">
        <w:t xml:space="preserve">zonder internettoegang </w:t>
      </w:r>
      <w:r>
        <w:t xml:space="preserve">volgens de wet beschermd door het instemmingsvereiste van art. 6:234 lid 3 BW. </w:t>
      </w:r>
      <w:r w:rsidR="00D51B6E">
        <w:t xml:space="preserve">Dit is eerder uitgebreid behandeld in paragraaf 2.3.4. </w:t>
      </w:r>
      <w:r>
        <w:t xml:space="preserve">In de literatuur kwam hier kritiek op van onder andere Schelhaas die stelt dat </w:t>
      </w:r>
      <w:r w:rsidR="00D51B6E">
        <w:t>deze wijze van instemming</w:t>
      </w:r>
      <w:r>
        <w:t xml:space="preserve"> onwerkbaar is. Daarbij wordt gewezen op het feit dat het merendeel van de consumenten tegenwoordig toegang heeft tot het internet.</w:t>
      </w:r>
      <w:r>
        <w:rPr>
          <w:rStyle w:val="Voetnootmarkering"/>
        </w:rPr>
        <w:footnoteReference w:id="90"/>
      </w:r>
      <w:r>
        <w:t xml:space="preserve"> Inmiddels is dit zelfs 96,5% van de huishoudens in Nederland.</w:t>
      </w:r>
      <w:r>
        <w:rPr>
          <w:rStyle w:val="Voetnootmarkering"/>
        </w:rPr>
        <w:footnoteReference w:id="91"/>
      </w:r>
      <w:r>
        <w:t xml:space="preserve"> Het is naar mijn mening aannemelijk dat dit voor commerciële wederpartijen niet lager zal zijn.</w:t>
      </w:r>
      <w:r>
        <w:rPr>
          <w:rStyle w:val="Voetnootmarkering"/>
        </w:rPr>
        <w:footnoteReference w:id="92"/>
      </w:r>
      <w:r>
        <w:t xml:space="preserve"> In de praktijk kent art. 6:234 lid 3 BW daarnaast zoveel praktische bezwaren, dat van deze regeling vrijwel geen gebruik wordt gemaakt. De bescherming</w:t>
      </w:r>
      <w:r w:rsidR="005E312F">
        <w:t xml:space="preserve"> in de huidige vorm </w:t>
      </w:r>
      <w:r>
        <w:t>van de kleine groep gebruikers die geen internettoegang heeft</w:t>
      </w:r>
      <w:r w:rsidR="005E312F">
        <w:t>,</w:t>
      </w:r>
      <w:r>
        <w:t xml:space="preserve"> weegt mijns inziens niet op tegen de problematiek die de regeling met zich meebrengt. </w:t>
      </w:r>
      <w:proofErr w:type="spellStart"/>
      <w:r>
        <w:t>Schaub</w:t>
      </w:r>
      <w:proofErr w:type="spellEnd"/>
      <w:r>
        <w:t xml:space="preserve"> stelt als oplossing voor om stilzwijgende instemming mogelijk te maken of de wederpartij de mogelijkheid te geven voor het sluiten van de overeenkomst een papieren versie van de algemene voorwaarden op te vragen.</w:t>
      </w:r>
      <w:r>
        <w:rPr>
          <w:rStyle w:val="Voetnootmarkering"/>
        </w:rPr>
        <w:footnoteReference w:id="93"/>
      </w:r>
      <w:r>
        <w:t xml:space="preserve"> Ik deel deze mening.  </w:t>
      </w:r>
      <w:r w:rsidR="00527209">
        <w:t>De bescherming voor deze kleine groep gebruikers zonder internettoegang zal zeker moeten blijven bestaan, maar in een werkbaardere vorm.</w:t>
      </w:r>
    </w:p>
    <w:p w14:paraId="4E62E0A9" w14:textId="1395CE73" w:rsidR="00332CA2" w:rsidRDefault="00332CA2" w:rsidP="00332CA2">
      <w:pPr>
        <w:spacing w:line="276" w:lineRule="auto"/>
        <w:jc w:val="both"/>
      </w:pPr>
      <w:r>
        <w:t xml:space="preserve">Het bestaan van verschillende regimes voor de terhandstelling van algemene voorwaarden </w:t>
      </w:r>
      <w:r w:rsidR="00D51B6E">
        <w:t xml:space="preserve">zorgt daarnaast </w:t>
      </w:r>
      <w:r>
        <w:t>voor kwalificatie- en afbakeningsproblemen.</w:t>
      </w:r>
      <w:r>
        <w:rPr>
          <w:rStyle w:val="Voetnootmarkering"/>
        </w:rPr>
        <w:footnoteReference w:id="94"/>
      </w:r>
      <w:r>
        <w:t xml:space="preserve"> </w:t>
      </w:r>
      <w:r w:rsidR="006A1F02">
        <w:t xml:space="preserve"> </w:t>
      </w:r>
      <w:r>
        <w:t xml:space="preserve">De verwijzing </w:t>
      </w:r>
      <w:r w:rsidR="00A1542C">
        <w:t xml:space="preserve">in art. 6:234 lid 1 BW </w:t>
      </w:r>
      <w:r>
        <w:t>maakt, zoals eerder in paragraaf 2.2 besproken, niet duidelijk of art. 6:230c BW gebruikt kan worden voor alle gebruikers van de algemene voorwaarden of slechts voor dienstverrichters</w:t>
      </w:r>
      <w:r w:rsidR="00A1542C">
        <w:t>.</w:t>
      </w:r>
      <w:r>
        <w:t xml:space="preserve"> De wetgever heeft daarnaast met de vrijstelling beoogd om een overlap tussen afdeling 6.5.2a BW en art. 6:234 BW te voorkomen. Bij gemengde overeenkomsten (overeenkomsten die deels betrekking hebben op een dienst en deels op een object) zal er echter alsnog een overlap bestaan. In die gevallen zal er zowel aan afdeling 6.5.2a BW als art. 6:234 BW moeten zijn voldaan. Dit is in principe mogelijk, maar</w:t>
      </w:r>
      <w:r w:rsidR="00B34C3D">
        <w:t xml:space="preserve"> lijkt</w:t>
      </w:r>
      <w:r>
        <w:t xml:space="preserve"> mij praktisch gezien niet wenselijk.</w:t>
      </w:r>
      <w:r>
        <w:rPr>
          <w:rStyle w:val="Voetnootmarkering"/>
        </w:rPr>
        <w:footnoteReference w:id="95"/>
      </w:r>
      <w:r>
        <w:t xml:space="preserve"> </w:t>
      </w:r>
    </w:p>
    <w:p w14:paraId="42519B65" w14:textId="77777777" w:rsidR="00332CA2" w:rsidRDefault="00332CA2" w:rsidP="00332CA2">
      <w:pPr>
        <w:pStyle w:val="Kop2"/>
        <w:numPr>
          <w:ilvl w:val="1"/>
          <w:numId w:val="3"/>
        </w:numPr>
        <w:spacing w:line="276" w:lineRule="auto"/>
        <w:jc w:val="both"/>
      </w:pPr>
      <w:bookmarkStart w:id="32" w:name="_Toc182382083"/>
      <w:bookmarkStart w:id="33" w:name="_Toc186375515"/>
      <w:r>
        <w:lastRenderedPageBreak/>
        <w:t>Problematiek van artikel 6:230c BW</w:t>
      </w:r>
      <w:bookmarkEnd w:id="32"/>
      <w:bookmarkEnd w:id="33"/>
    </w:p>
    <w:p w14:paraId="4FC35007" w14:textId="77777777" w:rsidR="00332CA2" w:rsidRDefault="00332CA2" w:rsidP="00332CA2">
      <w:pPr>
        <w:spacing w:after="0" w:line="276" w:lineRule="auto"/>
        <w:jc w:val="both"/>
        <w:rPr>
          <w:rFonts w:eastAsia="Times New Roman" w:cs="Times New Roman"/>
          <w:kern w:val="0"/>
          <w:lang w:eastAsia="nl-NL"/>
          <w14:ligatures w14:val="none"/>
        </w:rPr>
      </w:pPr>
      <w:r>
        <w:rPr>
          <w:rFonts w:eastAsia="Times New Roman" w:cs="Times New Roman"/>
          <w:kern w:val="0"/>
          <w:lang w:eastAsia="nl-NL"/>
          <w14:ligatures w14:val="none"/>
        </w:rPr>
        <w:t>De bovenstaande vrijstelling van dienstverrichters in art. 6:234 BW kent overigens ook een aantal voordelen. De gemakkelijke wijze waarop de algemene voorwaarden ter beschikking mogen worden gesteld door dienstverrichters voorkomt een aantal praktische (bewijs)problemen. Zo hoeft in dat geval niet te worden nagegaan of de algemene voorwaarden daadwerkelijk ter hand zijn gesteld, of deze op een download-vriendelijke wijze voor of tijdens het sluiten van de overeenkomst beschikbaar waren en of de uitdrukkelijke toestemming voor het gebruik van elektronische algemene voorwaarden was verkregen. Aan de informatieplicht is simpelweg voldaan als er een webadres wordt gedeeld waar de algemene voorwaarden zijn te vinden.</w:t>
      </w:r>
      <w:r>
        <w:rPr>
          <w:rStyle w:val="Voetnootmarkering"/>
          <w:rFonts w:eastAsia="Times New Roman" w:cs="Times New Roman"/>
          <w:kern w:val="0"/>
          <w:lang w:eastAsia="nl-NL"/>
          <w14:ligatures w14:val="none"/>
        </w:rPr>
        <w:footnoteReference w:id="96"/>
      </w:r>
      <w:r>
        <w:rPr>
          <w:rFonts w:eastAsia="Times New Roman" w:cs="Times New Roman"/>
          <w:kern w:val="0"/>
          <w:lang w:eastAsia="nl-NL"/>
          <w14:ligatures w14:val="none"/>
        </w:rPr>
        <w:t xml:space="preserve"> </w:t>
      </w:r>
    </w:p>
    <w:p w14:paraId="12E1EA52" w14:textId="77777777" w:rsidR="00332CA2" w:rsidRDefault="00332CA2" w:rsidP="00332CA2">
      <w:pPr>
        <w:spacing w:after="0" w:line="276" w:lineRule="auto"/>
        <w:jc w:val="both"/>
        <w:rPr>
          <w:rFonts w:eastAsia="Times New Roman" w:cs="Times New Roman"/>
          <w:kern w:val="0"/>
          <w:lang w:eastAsia="nl-NL"/>
          <w14:ligatures w14:val="none"/>
        </w:rPr>
      </w:pPr>
    </w:p>
    <w:p w14:paraId="7FE71417" w14:textId="7DE08AC7" w:rsidR="00332CA2" w:rsidRPr="00214E1B" w:rsidRDefault="00332CA2" w:rsidP="00332CA2">
      <w:pPr>
        <w:spacing w:after="0" w:line="276" w:lineRule="auto"/>
        <w:jc w:val="both"/>
        <w:rPr>
          <w:rFonts w:eastAsia="Times New Roman" w:cs="Times New Roman"/>
          <w:kern w:val="0"/>
          <w:lang w:eastAsia="nl-NL"/>
          <w14:ligatures w14:val="none"/>
        </w:rPr>
      </w:pPr>
      <w:r>
        <w:rPr>
          <w:rFonts w:eastAsia="Times New Roman" w:cs="Times New Roman"/>
          <w:kern w:val="0"/>
          <w:lang w:eastAsia="nl-NL"/>
          <w14:ligatures w14:val="none"/>
        </w:rPr>
        <w:t>Daar staat wel tegenover dat afdeling 6.5.2a BW niet voorziet in een bescherming voor de wederpartij in het geval dat zij geen toegang hebben of willen tot het internet. Deze wederpartijen hebben dan geen redelijke mogelijkheid om kennis te nemen van de algemene voorwaarden. Voor hen is het van belang dat zij de algemene voorwaarden op een andere wijze kunnen ontvangen.</w:t>
      </w:r>
      <w:r>
        <w:rPr>
          <w:rStyle w:val="Voetnootmarkering"/>
          <w:rFonts w:eastAsia="Times New Roman" w:cs="Times New Roman"/>
          <w:kern w:val="0"/>
          <w:lang w:eastAsia="nl-NL"/>
          <w14:ligatures w14:val="none"/>
        </w:rPr>
        <w:footnoteReference w:id="97"/>
      </w:r>
      <w:r>
        <w:rPr>
          <w:rFonts w:eastAsia="Times New Roman" w:cs="Times New Roman"/>
          <w:kern w:val="0"/>
          <w:lang w:eastAsia="nl-NL"/>
          <w14:ligatures w14:val="none"/>
        </w:rPr>
        <w:t xml:space="preserve"> Zoals eerder genoemd zal de groep die geen internettoegang heeft slechts een hele kleine groep mensen bedrage</w:t>
      </w:r>
      <w:r w:rsidR="00A1542C">
        <w:rPr>
          <w:rFonts w:eastAsia="Times New Roman" w:cs="Times New Roman"/>
          <w:kern w:val="0"/>
          <w:lang w:eastAsia="nl-NL"/>
          <w14:ligatures w14:val="none"/>
        </w:rPr>
        <w:t>n</w:t>
      </w:r>
      <w:r>
        <w:rPr>
          <w:rFonts w:eastAsia="Times New Roman" w:cs="Times New Roman"/>
          <w:kern w:val="0"/>
          <w:lang w:eastAsia="nl-NL"/>
          <w14:ligatures w14:val="none"/>
        </w:rPr>
        <w:t>. Het lijkt mij echter alsnog goed verdedigbaar dat het gebruik van elektronische algemene voorwaarden in bovenstaand geval naar maatstaven van redelijkheid en billijkheid onaanvaardbaar kan worden geacht</w:t>
      </w:r>
      <w:r w:rsidR="00527209">
        <w:rPr>
          <w:rFonts w:eastAsia="Times New Roman" w:cs="Times New Roman"/>
          <w:kern w:val="0"/>
          <w:lang w:eastAsia="nl-NL"/>
          <w14:ligatures w14:val="none"/>
        </w:rPr>
        <w:t xml:space="preserve"> in het geval een van de partijen geen toegang heeft tot het internet</w:t>
      </w:r>
      <w:r>
        <w:rPr>
          <w:rFonts w:eastAsia="Times New Roman" w:cs="Times New Roman"/>
          <w:kern w:val="0"/>
          <w:lang w:eastAsia="nl-NL"/>
          <w14:ligatures w14:val="none"/>
        </w:rPr>
        <w:t>.</w:t>
      </w:r>
      <w:r>
        <w:rPr>
          <w:rStyle w:val="Voetnootmarkering"/>
          <w:rFonts w:eastAsia="Times New Roman" w:cs="Times New Roman"/>
          <w:kern w:val="0"/>
          <w:lang w:eastAsia="nl-NL"/>
          <w14:ligatures w14:val="none"/>
        </w:rPr>
        <w:footnoteReference w:id="98"/>
      </w:r>
      <w:r>
        <w:rPr>
          <w:rFonts w:eastAsia="Times New Roman" w:cs="Times New Roman"/>
          <w:kern w:val="0"/>
          <w:lang w:eastAsia="nl-NL"/>
          <w14:ligatures w14:val="none"/>
        </w:rPr>
        <w:t xml:space="preserve"> </w:t>
      </w:r>
    </w:p>
    <w:p w14:paraId="5EFAC16C" w14:textId="77777777" w:rsidR="00332CA2" w:rsidRDefault="00332CA2" w:rsidP="00332CA2">
      <w:pPr>
        <w:pStyle w:val="Kop2"/>
        <w:numPr>
          <w:ilvl w:val="1"/>
          <w:numId w:val="3"/>
        </w:numPr>
        <w:spacing w:line="276" w:lineRule="auto"/>
        <w:jc w:val="both"/>
      </w:pPr>
      <w:bookmarkStart w:id="34" w:name="_Toc182382084"/>
      <w:bookmarkStart w:id="35" w:name="_Toc186375516"/>
      <w:r>
        <w:t>Sancties op niet naleven van de terhandstellingsplicht</w:t>
      </w:r>
      <w:bookmarkEnd w:id="34"/>
      <w:bookmarkEnd w:id="35"/>
    </w:p>
    <w:p w14:paraId="54DB2ADE" w14:textId="77777777" w:rsidR="00332CA2" w:rsidRDefault="00332CA2" w:rsidP="00332CA2">
      <w:pPr>
        <w:spacing w:line="276" w:lineRule="auto"/>
        <w:jc w:val="both"/>
      </w:pPr>
      <w:r>
        <w:t>Wat opvalt is dat de sanctionering van de niet-nakoming van de informatieplicht van de algemene voorwaarden verschilt bij afdeling 6.5.2a en afdeling 6.5.3 BW. Niet-naleving van de informatieplicht van afdeling 6.5.3 BW leidt tot vernietiging van de hele set algemene voorwaarden.</w:t>
      </w:r>
      <w:r>
        <w:rPr>
          <w:rStyle w:val="Voetnootmarkering"/>
        </w:rPr>
        <w:footnoteReference w:id="99"/>
      </w:r>
      <w:r>
        <w:t xml:space="preserve"> Er is echter nergens in de wet vastgesteld wat de sanctie is van niet-nakoming van afdeling 6.5.2a BW. Nu het toepassingsbereik van art. 6.5.2a BW steeds groter wordt is het van belang dat niet-nakoming gesanctioneerd kan worden. De wet en de rechtspraak zwijgen allebei over de vraag wat de consequentie is op het moment dat een dienstverrichter zijn verplichting om de voorwaarden makkelijk elektronisch beschikbaar te maken niet nakomt.</w:t>
      </w:r>
      <w:r>
        <w:rPr>
          <w:rStyle w:val="Voetnootmarkering"/>
        </w:rPr>
        <w:footnoteReference w:id="100"/>
      </w:r>
      <w:r>
        <w:t xml:space="preserve"> </w:t>
      </w:r>
    </w:p>
    <w:p w14:paraId="7708704B" w14:textId="59CAD499" w:rsidR="00332CA2" w:rsidRDefault="00332CA2" w:rsidP="00332CA2">
      <w:pPr>
        <w:spacing w:line="276" w:lineRule="auto"/>
        <w:jc w:val="both"/>
      </w:pPr>
      <w:proofErr w:type="spellStart"/>
      <w:r>
        <w:t>Hijma</w:t>
      </w:r>
      <w:proofErr w:type="spellEnd"/>
      <w:r>
        <w:t xml:space="preserve"> en De Graaf pleiten voor een analoge toepassing van de sanctie van vernietigbaarheid op grond van art. 6:233 sub b BW bij een schending van de informatieplicht van algemene voorwaarden.</w:t>
      </w:r>
      <w:r>
        <w:rPr>
          <w:rStyle w:val="Voetnootmarkering"/>
        </w:rPr>
        <w:footnoteReference w:id="101"/>
      </w:r>
      <w:r>
        <w:t xml:space="preserve"> Art. 6:230c BW is immers </w:t>
      </w:r>
      <w:proofErr w:type="spellStart"/>
      <w:r>
        <w:t>ingesleuteld</w:t>
      </w:r>
      <w:proofErr w:type="spellEnd"/>
      <w:r>
        <w:t xml:space="preserve"> in art. 6:234 lid 1 BW. Dat suggereert dat bij niet-nakoming van de algemene voorwaarden </w:t>
      </w:r>
      <w:r>
        <w:lastRenderedPageBreak/>
        <w:t xml:space="preserve">de vernietigbaarheid van art. 6:233 sub b BW van toepassing kan zijn. Mijns inziens is het logisch dat ook een sanctie geldt voor de niet-nakoming door dienstverrichters, anders zou er voor hen immers geen motief bestaan om hun plichten na te komen. Ik sluit me aan bij </w:t>
      </w:r>
      <w:proofErr w:type="spellStart"/>
      <w:r>
        <w:t>Hijma</w:t>
      </w:r>
      <w:proofErr w:type="spellEnd"/>
      <w:r>
        <w:t xml:space="preserve"> en De graaf dat voor deze sanctie aansluiting kan worden gezocht met de sanctie van afdeling 6.5.3</w:t>
      </w:r>
      <w:r w:rsidR="00D51B6E">
        <w:t xml:space="preserve"> BW</w:t>
      </w:r>
      <w:r>
        <w:t xml:space="preserve">. </w:t>
      </w:r>
    </w:p>
    <w:p w14:paraId="19C8F1CC" w14:textId="77777777" w:rsidR="00332CA2" w:rsidRDefault="00332CA2" w:rsidP="00332CA2">
      <w:pPr>
        <w:pStyle w:val="Kop2"/>
        <w:numPr>
          <w:ilvl w:val="1"/>
          <w:numId w:val="3"/>
        </w:numPr>
      </w:pPr>
      <w:bookmarkStart w:id="36" w:name="_Toc182382085"/>
      <w:bookmarkStart w:id="37" w:name="_Toc186375517"/>
      <w:r>
        <w:t>De uitzondering van grote wederpartijen</w:t>
      </w:r>
      <w:bookmarkEnd w:id="36"/>
      <w:bookmarkEnd w:id="37"/>
    </w:p>
    <w:p w14:paraId="354D40C9" w14:textId="11D1B19A" w:rsidR="00D51B6E" w:rsidRDefault="00332CA2" w:rsidP="00332CA2">
      <w:pPr>
        <w:spacing w:line="276" w:lineRule="auto"/>
        <w:jc w:val="both"/>
      </w:pPr>
      <w:r>
        <w:t xml:space="preserve">Zoals </w:t>
      </w:r>
      <w:r w:rsidR="00D51B6E">
        <w:t xml:space="preserve">eerder in </w:t>
      </w:r>
      <w:r w:rsidR="005E312F">
        <w:t>paragraaf</w:t>
      </w:r>
      <w:r w:rsidR="00D51B6E">
        <w:t xml:space="preserve"> </w:t>
      </w:r>
      <w:r w:rsidR="005E312F">
        <w:t>2.3.5</w:t>
      </w:r>
      <w:r>
        <w:t xml:space="preserve"> genoemd, kunnen enige bijzondere wederpartijen geen beroep doen op de vernietigingsgronden opgenomen in art. 6:233 sub b jo. Art. 6:234 BW. Dit zijn grote wederpartijen en wederpartijen die nagenoeg dezelfde algemene voorwaarden hanteren.</w:t>
      </w:r>
      <w:r>
        <w:rPr>
          <w:rStyle w:val="Voetnootmarkering"/>
        </w:rPr>
        <w:footnoteReference w:id="102"/>
      </w:r>
      <w:r>
        <w:t xml:space="preserve">  Deze uitzondering</w:t>
      </w:r>
      <w:r w:rsidR="00D51B6E">
        <w:t>en</w:t>
      </w:r>
      <w:r>
        <w:t xml:space="preserve"> </w:t>
      </w:r>
      <w:r w:rsidR="00D51B6E">
        <w:t>zijn</w:t>
      </w:r>
      <w:r>
        <w:t xml:space="preserve"> opgenomen in art. 6:235 BW. </w:t>
      </w:r>
    </w:p>
    <w:p w14:paraId="4CF0DF06" w14:textId="19D5ACA7" w:rsidR="00332CA2" w:rsidRDefault="00332CA2" w:rsidP="00332CA2">
      <w:pPr>
        <w:spacing w:line="276" w:lineRule="auto"/>
        <w:jc w:val="both"/>
      </w:pPr>
      <w:r>
        <w:t>Er is sprake van een ‘grote’ wederpartij wanneer de onderneming verplicht is haar jaarrekening te publiceren of in het geval dat de onderneming vijftig of meer werknemers heeft. Deze uitzondering wordt bekritiseerd in de literatuur.</w:t>
      </w:r>
      <w:r>
        <w:rPr>
          <w:rStyle w:val="Voetnootmarkering"/>
        </w:rPr>
        <w:footnoteReference w:id="103"/>
      </w:r>
      <w:r>
        <w:t xml:space="preserve"> Onder andere wordt aangevoerd dat het criterium om te bepalen of een onderneming een ‘grote’ wederpartij is, nogal willekeurig is.</w:t>
      </w:r>
      <w:r>
        <w:rPr>
          <w:rStyle w:val="Voetnootmarkering"/>
        </w:rPr>
        <w:footnoteReference w:id="104"/>
      </w:r>
      <w:r>
        <w:t xml:space="preserve"> Daarnaast kan ook bij een grote wederpartij de deskundigheid ontbreken om zich bewust te zijn van de strekking van bedingen in de algemene voorwaarden.</w:t>
      </w:r>
      <w:r>
        <w:rPr>
          <w:rStyle w:val="Voetnootmarkering"/>
        </w:rPr>
        <w:footnoteReference w:id="105"/>
      </w:r>
      <w:r>
        <w:t xml:space="preserve"> Een grote wederpartij kan bijvoorbeeld ook al een kleine supermarkt met 51 medewerkers zijn die een overeenkomst sluit met een veel grotere wederpartij met een sterkere machtspositie (bijv. een bedrijf als Coca Cola). Een kleine supermarkt zal in dat geval waarschijnlijk over minder kennis beschikken dan de wederpartij en zal vaak redelijk afhankelijk zijn van de leverancier en zijn algemene voorwaarden.</w:t>
      </w:r>
      <w:r>
        <w:rPr>
          <w:rStyle w:val="Voetnootmarkering"/>
        </w:rPr>
        <w:footnoteReference w:id="106"/>
      </w:r>
      <w:r>
        <w:t xml:space="preserve"> Geen bescherming bieden lijkt mij in dat geval onrechtvaardig. Terecht wordt gesteld dat de behoefte aan bescherming voor een grote wederpartij minder zal zijn dan een consument, ook met het oog op contractsvrijheid. Maar naar mijn mening rechtvaardigt dit geen volledige uitsluiting van de bescherming ex art. 6:233 sub b jo. 6:234 BW. </w:t>
      </w:r>
    </w:p>
    <w:p w14:paraId="4FA8C0B2" w14:textId="71240417" w:rsidR="00332CA2" w:rsidRPr="001122DF" w:rsidRDefault="00332CA2" w:rsidP="00332CA2">
      <w:pPr>
        <w:jc w:val="both"/>
      </w:pPr>
      <w:r>
        <w:t xml:space="preserve">Grote wederpartijen zijn daarnaast geen uitzonderingen in de Richtlijn inzake elektronische handel of in de Dienstenrichtlijn. Voor overeenkomsten met dienstverrichters geldt deze uitzondering dan ook niet. Wissink betoogt al in 2005 dat de informatieplicht van de </w:t>
      </w:r>
      <w:r w:rsidR="00D51B6E">
        <w:t>R</w:t>
      </w:r>
      <w:r>
        <w:t xml:space="preserve">ichtlijn inzake elektronische handel zich niet heeft willen beperken tot toepassing op alleen kleine wederpartijen, maar dat de </w:t>
      </w:r>
      <w:r w:rsidR="005E312F">
        <w:t xml:space="preserve">richtlijn </w:t>
      </w:r>
      <w:r>
        <w:t>voor iedereen geldt.</w:t>
      </w:r>
      <w:r>
        <w:rPr>
          <w:rStyle w:val="Voetnootmarkering"/>
        </w:rPr>
        <w:footnoteReference w:id="107"/>
      </w:r>
      <w:r>
        <w:t xml:space="preserve"> Spanjaard stelt echter weer dat meerdere taalversies van de Richtlijn inzake elektronische handel in verschillende landen suggereert dat de richtlijn invulling </w:t>
      </w:r>
      <w:r>
        <w:lastRenderedPageBreak/>
        <w:t>beoogt te geven aan nationale informatieplichten, als gevolg waarvan nationale beperkingen op de richtlijn zijn toegestaan.</w:t>
      </w:r>
      <w:r>
        <w:rPr>
          <w:rStyle w:val="Voetnootmarkering"/>
        </w:rPr>
        <w:footnoteReference w:id="108"/>
      </w:r>
      <w:r>
        <w:t xml:space="preserve"> Ik sluit me in deze situatie aan bij de mening van Wissink. Het feit dat zowel in de Dienstenrichtlijn als de Richtlijn inzake elektronische handel geen onderscheid wordt gemaakt is mijns inziens een duidelijk signaal dat dit onnodig is.</w:t>
      </w:r>
      <w:r>
        <w:rPr>
          <w:rStyle w:val="Voetnootmarkering"/>
        </w:rPr>
        <w:footnoteReference w:id="109"/>
      </w:r>
      <w:r>
        <w:t xml:space="preserve"> </w:t>
      </w:r>
    </w:p>
    <w:p w14:paraId="17F54C80" w14:textId="77777777" w:rsidR="00332CA2" w:rsidRDefault="00332CA2" w:rsidP="00332CA2">
      <w:pPr>
        <w:pStyle w:val="Kop2"/>
        <w:numPr>
          <w:ilvl w:val="1"/>
          <w:numId w:val="3"/>
        </w:numPr>
        <w:jc w:val="both"/>
      </w:pPr>
      <w:bookmarkStart w:id="38" w:name="_Toc182382086"/>
      <w:bookmarkStart w:id="39" w:name="_Toc186375518"/>
      <w:r>
        <w:t>De samenloop met de Richtlijn inzake elektronische handel</w:t>
      </w:r>
      <w:bookmarkEnd w:id="38"/>
      <w:bookmarkEnd w:id="39"/>
    </w:p>
    <w:p w14:paraId="38848A31" w14:textId="77777777" w:rsidR="00332CA2" w:rsidRDefault="00332CA2" w:rsidP="00332CA2">
      <w:pPr>
        <w:jc w:val="both"/>
      </w:pPr>
      <w:r>
        <w:t xml:space="preserve">De implementatie van de Richtlijn inzake elektronische handel heeft, zoals hierboven al deels beschreven, een aantal complicaties met zich meegebracht. </w:t>
      </w:r>
    </w:p>
    <w:p w14:paraId="4FB63C69" w14:textId="65534378" w:rsidR="00332CA2" w:rsidRDefault="00A1542C" w:rsidP="00332CA2">
      <w:pPr>
        <w:jc w:val="both"/>
      </w:pPr>
      <w:r>
        <w:t>Het opslagvereiste van art. 6:234 lid 2 BW volgt</w:t>
      </w:r>
      <w:r w:rsidR="00332CA2">
        <w:t xml:space="preserve"> uit art. 10 lid 3 Richtlijn inzake elektronische handel. In de literatuur is de vraag of het verklaarbaar is dat dienstverrichters niet hoeven te voldoen aan het opslagvereiste.</w:t>
      </w:r>
      <w:r w:rsidR="00332CA2">
        <w:rPr>
          <w:rStyle w:val="Voetnootmarkering"/>
        </w:rPr>
        <w:footnoteReference w:id="110"/>
      </w:r>
      <w:r w:rsidR="00332CA2">
        <w:t xml:space="preserve"> De Richtlijn inzake elektronische handel maakt geen onderscheid tussen dienstverrichters en niet-dienstverrichters. Het is mijns inziens dan ook vreemd dat op dit vlak dat dan in het Burgerlijk Wetboek wel wordt gedaan. </w:t>
      </w:r>
    </w:p>
    <w:p w14:paraId="1F65FAD9" w14:textId="6539D01F" w:rsidR="00D51B6E" w:rsidRDefault="00332CA2" w:rsidP="00332CA2">
      <w:pPr>
        <w:jc w:val="both"/>
      </w:pPr>
      <w:r>
        <w:t>Hierbij verdient nog opmerking dat uit de Dienstenrichtlijn volgt dat zij niet wil afdoen aan andere richtlijnen, maar daar juist op wil voortbouwen en aanvullen.</w:t>
      </w:r>
      <w:r>
        <w:rPr>
          <w:rStyle w:val="Voetnootmarkering"/>
        </w:rPr>
        <w:footnoteReference w:id="111"/>
      </w:r>
      <w:r>
        <w:t xml:space="preserve"> Bovendien bepaalt art. 22 lid 5 Dienstenrichtlijn dat de in dat artikel genoemde informatie-eisen een aanvulling zijn op het gemeenschapsrecht en het de nationale wetgever niet belet aanvullende informatie-eisen op te leggen. Het opslagvereiste had dus in de wet geïmplementeerd kunnen worden voor dienstverrichters</w:t>
      </w:r>
      <w:r w:rsidR="00D51B6E">
        <w:t xml:space="preserve"> om zo een gelijke regeling te hebben voor alle gebruikers</w:t>
      </w:r>
      <w:r w:rsidR="005E312F">
        <w:t xml:space="preserve"> van de algemene voorwaarden</w:t>
      </w:r>
      <w:r w:rsidR="00D51B6E">
        <w:t xml:space="preserve">. </w:t>
      </w:r>
    </w:p>
    <w:p w14:paraId="1D387458" w14:textId="4A57581B" w:rsidR="00332CA2" w:rsidRDefault="00332CA2" w:rsidP="00332CA2">
      <w:pPr>
        <w:jc w:val="both"/>
      </w:pPr>
      <w:r>
        <w:t>Daarnaast is de mogelijkheid tot opslag in mijn optiek een goede toevoeging voor alle gebruikers van de algemene voorwaarden; vooral met het oog op het dossierbelang van de wederpartij</w:t>
      </w:r>
      <w:r w:rsidR="005E312F">
        <w:t>, wat eerder besproken is in paragraaf. 2.3.2</w:t>
      </w:r>
      <w:r>
        <w:t>. Wanneer algemene voorwaarden opgeslagen zijn is immers makkelijker aan te tonen welke algemene voorwaarden van toepassing waren op het moment van sluiten van de overeenkomst. De Nederlandse wet dient mijns inziens op dit vlak richtlijnconform te worden uitgelegd, zodat ook dienstverrichters voldoen aan het opslagvereiste en er geen onnodig onderscheid wordt gemaakt.</w:t>
      </w:r>
      <w:r>
        <w:rPr>
          <w:rStyle w:val="Voetnootmarkering"/>
        </w:rPr>
        <w:footnoteReference w:id="112"/>
      </w:r>
      <w:r>
        <w:t>.</w:t>
      </w:r>
    </w:p>
    <w:p w14:paraId="19D41289" w14:textId="77777777" w:rsidR="00332CA2" w:rsidRPr="00E660DC" w:rsidRDefault="00332CA2" w:rsidP="00332CA2">
      <w:pPr>
        <w:pStyle w:val="Kop2"/>
        <w:numPr>
          <w:ilvl w:val="1"/>
          <w:numId w:val="3"/>
        </w:numPr>
        <w:jc w:val="both"/>
      </w:pPr>
      <w:bookmarkStart w:id="40" w:name="_Toc182382087"/>
      <w:bookmarkStart w:id="41" w:name="_Toc186375519"/>
      <w:r>
        <w:lastRenderedPageBreak/>
        <w:t>Tussenconclusie</w:t>
      </w:r>
      <w:bookmarkEnd w:id="40"/>
      <w:bookmarkEnd w:id="41"/>
      <w:r>
        <w:t xml:space="preserve"> </w:t>
      </w:r>
    </w:p>
    <w:p w14:paraId="77D7DEF1" w14:textId="6315C935" w:rsidR="00332CA2" w:rsidRDefault="00332CA2" w:rsidP="00332CA2">
      <w:pPr>
        <w:jc w:val="both"/>
      </w:pPr>
      <w:r>
        <w:t xml:space="preserve">Het huidige </w:t>
      </w:r>
      <w:r w:rsidR="00D51B6E">
        <w:t>B</w:t>
      </w:r>
      <w:r>
        <w:t xml:space="preserve">urgerlijk </w:t>
      </w:r>
      <w:r w:rsidR="00D51B6E">
        <w:t>W</w:t>
      </w:r>
      <w:r>
        <w:t>etboek bevat twee verschillende regelingen voor de terhandstelling van algemene voorwaarden. Op beide regelingen is kritiek vanwege de praktische problemen en het onverklaarbare onderscheid tussen dienstverrichters en niet-dienstverrichters. Art. 6:234 BW is een strenge bepaling, waarbij de focus vooral ligt op naleven van informatieplichten in plaats van het daadwerkelijk overbrengen van de algemene voorwaarden. Een van de belangrijkste problemen is dat het artikel er niet altijd voor zorgt dat de algemene voorwaarden daadwerkelijk worden gelezen door de wederpartij. Het lijkt mij daarom voldoende dat de algemene voorwaarden slechts gemakkelijk toegankelijk worden gemaakt.</w:t>
      </w:r>
    </w:p>
    <w:p w14:paraId="2F90C733" w14:textId="77777777" w:rsidR="00332CA2" w:rsidRDefault="00332CA2" w:rsidP="00332CA2">
      <w:pPr>
        <w:jc w:val="both"/>
      </w:pPr>
      <w:r>
        <w:t xml:space="preserve">De regeling voor dienstverrichters ex art. 6:230c BW is aanzienlijk soepeler: algemene voorwaarden hoeven slechts (elektronisch) toegankelijk te worden gemaakt wat eenvoudiger is voor de dienstverrichter en zorgt voor minder praktische drempels. Wederpartijen die geen gebruik kunnen of willen maken van het internet biedt deze versoepeling echter geen bescherming, terwijl in art. 6:234 BW wel een beschermingsmechanisme terug te vinden is. </w:t>
      </w:r>
    </w:p>
    <w:p w14:paraId="6036CEE9" w14:textId="77777777" w:rsidR="00332CA2" w:rsidRDefault="00332CA2" w:rsidP="00332CA2">
      <w:pPr>
        <w:jc w:val="both"/>
      </w:pPr>
      <w:r>
        <w:t>Daarnaast bestaat er in beginsel voor dienstverrichters geen sanctie op het niet naleven van de terhandstellingsplicht en is er geen opslagvereiste die voor niet-dienstverrichters wel geldt.  Wel kan hier mijns inziens een analoge toepassing plaatsvinden waardoor dezelfde sanctie ook geldt voor dienstverrichters. Daarbij bevat art. 6:235 BW een uitzondering voor grote partijen. Zij worden niet beschermd tegen schending van de terhandstellingsplicht van de niet-dienstverrichters. Wederpartijen die handelen met dienstverrichters kennen deze uitzondering echter wel. De uitzondering zorgt naar mijn mening voor een onnodig en onrechtvaardig verschil.</w:t>
      </w:r>
    </w:p>
    <w:p w14:paraId="50E14C6B" w14:textId="3BAD6D2B" w:rsidR="00332CA2" w:rsidRDefault="00332CA2" w:rsidP="00332CA2">
      <w:pPr>
        <w:jc w:val="both"/>
      </w:pPr>
      <w:r>
        <w:t xml:space="preserve">In de praktijk blijken deze twee afzonderlijke regimes problematisch te zijn.  De regelingen zitten vol knelpunten die de wetgever nog niet heeft opgelost.  Het lijkt mij daarom tijd voor een nieuwe uniforme regeling die de verschillen weghaalt en zorgt voor een meer toegankelijke regeling. </w:t>
      </w:r>
    </w:p>
    <w:p w14:paraId="32BEE355" w14:textId="1FCAA1C9" w:rsidR="00E07173" w:rsidRDefault="00DD4522" w:rsidP="00332CA2">
      <w:pPr>
        <w:pStyle w:val="Kop1"/>
        <w:numPr>
          <w:ilvl w:val="0"/>
          <w:numId w:val="3"/>
        </w:numPr>
        <w:spacing w:line="276" w:lineRule="auto"/>
        <w:jc w:val="both"/>
      </w:pPr>
      <w:bookmarkStart w:id="42" w:name="_Toc182382075"/>
      <w:bookmarkStart w:id="43" w:name="_Toc186375520"/>
      <w:r>
        <w:t xml:space="preserve">Hoofdstuk </w:t>
      </w:r>
      <w:r w:rsidR="00332CA2">
        <w:t>5</w:t>
      </w:r>
      <w:r>
        <w:t xml:space="preserve"> – Rechtsvergelijking met België</w:t>
      </w:r>
      <w:bookmarkEnd w:id="42"/>
      <w:bookmarkEnd w:id="43"/>
    </w:p>
    <w:p w14:paraId="1779F9BE" w14:textId="2B5F7D5C" w:rsidR="006C4C43" w:rsidRDefault="00BA55E7" w:rsidP="00196BD8">
      <w:pPr>
        <w:spacing w:line="276" w:lineRule="auto"/>
        <w:jc w:val="both"/>
      </w:pPr>
      <w:r>
        <w:t>België ken</w:t>
      </w:r>
      <w:r w:rsidR="0036592A">
        <w:t>t</w:t>
      </w:r>
      <w:r>
        <w:t xml:space="preserve"> in grote lijnen </w:t>
      </w:r>
      <w:r w:rsidR="00670E57">
        <w:t>eenzelfde</w:t>
      </w:r>
      <w:r>
        <w:t xml:space="preserve"> regeling als het Nederlandse recht. </w:t>
      </w:r>
      <w:r w:rsidR="00C37790">
        <w:t xml:space="preserve">Het grootste en meest </w:t>
      </w:r>
      <w:r w:rsidR="00D00D1F">
        <w:t>evidente</w:t>
      </w:r>
      <w:r w:rsidR="00C37790">
        <w:t xml:space="preserve"> verschil is dat het Belgische </w:t>
      </w:r>
      <w:r w:rsidR="00156B2E">
        <w:t>recht</w:t>
      </w:r>
      <w:r w:rsidR="00C37790">
        <w:t xml:space="preserve"> geen</w:t>
      </w:r>
      <w:r w:rsidR="00113056">
        <w:t xml:space="preserve"> </w:t>
      </w:r>
      <w:r w:rsidR="00C37790">
        <w:t xml:space="preserve">onderscheid </w:t>
      </w:r>
      <w:r w:rsidR="000C3826">
        <w:t>kent</w:t>
      </w:r>
      <w:r w:rsidR="00C37790">
        <w:t xml:space="preserve"> </w:t>
      </w:r>
      <w:r w:rsidR="007A58CC">
        <w:t>tussen</w:t>
      </w:r>
      <w:r w:rsidR="00AE047A">
        <w:t xml:space="preserve"> een regeling voor dienstver</w:t>
      </w:r>
      <w:r w:rsidR="00827975">
        <w:t>richters</w:t>
      </w:r>
      <w:r w:rsidR="00AE047A">
        <w:t xml:space="preserve"> en een regeling voor niet-dienstver</w:t>
      </w:r>
      <w:r w:rsidR="00827975">
        <w:t>richter</w:t>
      </w:r>
      <w:r w:rsidR="00AE047A">
        <w:t xml:space="preserve">s. </w:t>
      </w:r>
      <w:r w:rsidR="00556877">
        <w:t xml:space="preserve">In dit hoofdstuk wordt een vergelijking gemaakt met het Belgische recht. Het doel is om te onderzoeken of het hebben van twee regelingen voor terhandstelling van de algemene voorwaarden een meerwaarde heeft. Of dat het voldoende is dat er slechts één regeling is voor alle gebruikers van de algemene voorwaarden. Meer specifiek wordt daarom </w:t>
      </w:r>
      <w:r w:rsidR="00556877">
        <w:lastRenderedPageBreak/>
        <w:t xml:space="preserve">gekeken naar het feit dat er in België geen streng onderscheid is tussen dienstverrichters en niet-dienstverrichters. </w:t>
      </w:r>
    </w:p>
    <w:p w14:paraId="64F3D9C3" w14:textId="0959049F" w:rsidR="00556877" w:rsidRDefault="00556877" w:rsidP="00196BD8">
      <w:pPr>
        <w:spacing w:line="276" w:lineRule="auto"/>
        <w:jc w:val="both"/>
      </w:pPr>
      <w:r>
        <w:t xml:space="preserve">De terhandstelling van algemene voorwaarde kent in België een korte wettelijke bepaling. Daaromheen is de regeling gebaseerd op jurisprudentie.  In dit hoofdstuk zal eerst de wettelijke regeling uiteen worden gezet en daarna zal vooral de rechtspraak in België omtrent de informatieplicht van algemene voorwaarden worden besproken. Het hoofdstuk zal worden afgesloten met een tussenconclusie. </w:t>
      </w:r>
    </w:p>
    <w:p w14:paraId="38903E1B" w14:textId="5F4FF535" w:rsidR="00020676" w:rsidRDefault="00F106C7" w:rsidP="00196BD8">
      <w:pPr>
        <w:spacing w:line="276" w:lineRule="auto"/>
        <w:jc w:val="both"/>
      </w:pPr>
      <w:r>
        <w:t>Het</w:t>
      </w:r>
      <w:r w:rsidR="00F9131E">
        <w:t xml:space="preserve"> is van belang om op te merken dat er in november 2020 de wet van 13 april 2019 in werking is getreden waarmee het burgerlijk </w:t>
      </w:r>
      <w:r w:rsidR="005A448A">
        <w:t>W</w:t>
      </w:r>
      <w:r w:rsidR="00F9131E">
        <w:t>etboek van België (hierna BW België) is gewijzigd.</w:t>
      </w:r>
      <w:r w:rsidR="00F9131E">
        <w:rPr>
          <w:rStyle w:val="Voetnootmarkering"/>
        </w:rPr>
        <w:footnoteReference w:id="113"/>
      </w:r>
      <w:r w:rsidR="00F9131E">
        <w:t xml:space="preserve"> Er is een nieuw wetboek </w:t>
      </w:r>
      <w:r w:rsidR="007A0BAB">
        <w:t>dat</w:t>
      </w:r>
      <w:r w:rsidR="00F9131E">
        <w:t xml:space="preserve"> in de loop van afgelopen jaren is uitgebloeid tot tien boeken. Het Burgerlijk wetboek uit 1804 draagt sinds deze wijziging </w:t>
      </w:r>
      <w:r w:rsidR="00110882">
        <w:t>het</w:t>
      </w:r>
      <w:r w:rsidR="00F9131E">
        <w:t xml:space="preserve"> naam ‘oud Burgerlijk wetboek’ (hierna: Oud BW België).</w:t>
      </w:r>
      <w:r w:rsidR="00F9131E">
        <w:rPr>
          <w:rStyle w:val="Voetnootmarkering"/>
        </w:rPr>
        <w:footnoteReference w:id="114"/>
      </w:r>
      <w:r w:rsidR="00031C70">
        <w:t xml:space="preserve"> </w:t>
      </w:r>
      <w:r w:rsidR="00BE55E0">
        <w:t>Sommige aangehaalde jurisprudentie zal daarom nog zien op de oude BW van België</w:t>
      </w:r>
      <w:r w:rsidR="00E5173D">
        <w:t xml:space="preserve">, maar deze jurisprudentie is mijns inziens nog wel relevant voor de huidige regeling. </w:t>
      </w:r>
    </w:p>
    <w:p w14:paraId="55BAB775" w14:textId="11E9E7B4" w:rsidR="00C567F3" w:rsidRPr="00C567F3" w:rsidRDefault="00180EC3" w:rsidP="00332CA2">
      <w:pPr>
        <w:pStyle w:val="Kop2"/>
        <w:numPr>
          <w:ilvl w:val="1"/>
          <w:numId w:val="3"/>
        </w:numPr>
        <w:spacing w:line="276" w:lineRule="auto"/>
        <w:jc w:val="both"/>
      </w:pPr>
      <w:bookmarkStart w:id="44" w:name="_Toc182382076"/>
      <w:bookmarkStart w:id="45" w:name="_Toc186375521"/>
      <w:r>
        <w:t>De wettelijke regeling</w:t>
      </w:r>
      <w:r w:rsidR="00283543">
        <w:t xml:space="preserve"> in België</w:t>
      </w:r>
      <w:bookmarkEnd w:id="44"/>
      <w:bookmarkEnd w:id="45"/>
    </w:p>
    <w:p w14:paraId="72079590" w14:textId="759EE77E" w:rsidR="00704B62" w:rsidRDefault="00ED2D95" w:rsidP="00196BD8">
      <w:pPr>
        <w:spacing w:line="276" w:lineRule="auto"/>
        <w:jc w:val="both"/>
      </w:pPr>
      <w:r>
        <w:t xml:space="preserve">De regels met betrekking tot de terhandstelling van algemene voorwaarden zijn </w:t>
      </w:r>
      <w:r w:rsidR="00FF12B1">
        <w:t>kort</w:t>
      </w:r>
      <w:r w:rsidR="00432F83">
        <w:t xml:space="preserve"> </w:t>
      </w:r>
      <w:r>
        <w:t xml:space="preserve">verankerd in verschillende wetboeken in België. </w:t>
      </w:r>
      <w:r w:rsidR="004F2B3D">
        <w:t xml:space="preserve">De basis van de terhandstelling van de algemene voorwaarden is geregeld in art. 5.23 </w:t>
      </w:r>
      <w:r w:rsidR="00462B31">
        <w:t>BW</w:t>
      </w:r>
      <w:r w:rsidR="00A3139C">
        <w:t xml:space="preserve"> België</w:t>
      </w:r>
      <w:r w:rsidR="00D23341">
        <w:t>.</w:t>
      </w:r>
      <w:r w:rsidR="00AE4C77">
        <w:t xml:space="preserve"> In </w:t>
      </w:r>
      <w:r w:rsidR="00F106C7">
        <w:t>beginsel</w:t>
      </w:r>
      <w:r w:rsidR="00AE4C77">
        <w:t xml:space="preserve"> is dit een vrij algemene bepaling</w:t>
      </w:r>
      <w:r w:rsidR="00DE0B96">
        <w:t xml:space="preserve">. De wederpartij dient effectief kennis te hebben genomen van de algemene voorwaarden of in ieder geval de mogelijkheid </w:t>
      </w:r>
      <w:r w:rsidR="00025B79">
        <w:t xml:space="preserve">te hebben gehad om effectief kennis te nemen. </w:t>
      </w:r>
      <w:r w:rsidR="00B11718">
        <w:t xml:space="preserve">De algemene voorwaarden toegankelijk maken is hiervoor al voldoende. </w:t>
      </w:r>
      <w:r w:rsidR="00B54F05">
        <w:t xml:space="preserve"> </w:t>
      </w:r>
      <w:r w:rsidR="00025B79">
        <w:t xml:space="preserve">Verder </w:t>
      </w:r>
      <w:r w:rsidR="00090776">
        <w:t>spreekt de wet zich vrij weinig uit over dit onderwerp</w:t>
      </w:r>
      <w:r w:rsidR="00403AB3">
        <w:t>.</w:t>
      </w:r>
      <w:r w:rsidR="00565581">
        <w:t xml:space="preserve"> Dit artikel zal in paragraaf 4.2 </w:t>
      </w:r>
      <w:r w:rsidR="007E042F">
        <w:t>u</w:t>
      </w:r>
      <w:r w:rsidR="00565581">
        <w:t>itvoerig worden besproken.</w:t>
      </w:r>
      <w:r w:rsidR="00403AB3">
        <w:t xml:space="preserve"> </w:t>
      </w:r>
      <w:r w:rsidR="00DE346F">
        <w:t xml:space="preserve">Voorts is vanzelfsprekend ook in België de </w:t>
      </w:r>
      <w:r w:rsidR="004F2E0E">
        <w:t>D</w:t>
      </w:r>
      <w:r w:rsidR="00DE346F">
        <w:t xml:space="preserve">ienstenrichtlijn </w:t>
      </w:r>
      <w:r w:rsidR="002F20BF">
        <w:t>geïmplementeerd</w:t>
      </w:r>
      <w:r w:rsidR="00DE346F">
        <w:t xml:space="preserve"> in de Belgische Dienstenwet.</w:t>
      </w:r>
      <w:r w:rsidR="00DE346F">
        <w:rPr>
          <w:rStyle w:val="Voetnootmarkering"/>
        </w:rPr>
        <w:footnoteReference w:id="115"/>
      </w:r>
      <w:r w:rsidR="008A2C44">
        <w:t xml:space="preserve"> </w:t>
      </w:r>
      <w:r w:rsidR="00383C0A">
        <w:t xml:space="preserve">In 2013 is het Wetboek Economisch Recht (hierna: WER) </w:t>
      </w:r>
      <w:r w:rsidR="00B936DD">
        <w:t>geïntroduceerd</w:t>
      </w:r>
      <w:r w:rsidR="00383C0A">
        <w:t xml:space="preserve"> in België</w:t>
      </w:r>
      <w:r w:rsidR="00782C7B">
        <w:t xml:space="preserve">, waar </w:t>
      </w:r>
      <w:r w:rsidR="00282FE0">
        <w:t xml:space="preserve">dezelfde bepalingen </w:t>
      </w:r>
      <w:r w:rsidR="00973039">
        <w:t xml:space="preserve">als in de </w:t>
      </w:r>
      <w:r w:rsidR="002B0166">
        <w:t>D</w:t>
      </w:r>
      <w:r w:rsidR="00973039">
        <w:t xml:space="preserve">ienstenwet </w:t>
      </w:r>
      <w:r w:rsidR="00282FE0">
        <w:t>zijn terug te vinden.</w:t>
      </w:r>
      <w:r w:rsidR="00A57AE0">
        <w:t xml:space="preserve"> De regelgeving omtrent de terhandstelling van de algemene voorwaarden is dus te vinden in verschillende wetboeken.</w:t>
      </w:r>
    </w:p>
    <w:p w14:paraId="155636BB" w14:textId="02763A8C" w:rsidR="00B565C7" w:rsidRPr="00427826" w:rsidRDefault="00B565C7" w:rsidP="00332CA2">
      <w:pPr>
        <w:pStyle w:val="Lijstalinea"/>
        <w:numPr>
          <w:ilvl w:val="2"/>
          <w:numId w:val="3"/>
        </w:numPr>
        <w:spacing w:line="276" w:lineRule="auto"/>
        <w:jc w:val="both"/>
        <w:rPr>
          <w:b/>
          <w:bCs/>
        </w:rPr>
      </w:pPr>
      <w:r w:rsidRPr="00427826">
        <w:rPr>
          <w:b/>
          <w:bCs/>
        </w:rPr>
        <w:t xml:space="preserve">Implementatie van de </w:t>
      </w:r>
      <w:r w:rsidR="009C1E9E" w:rsidRPr="00427826">
        <w:rPr>
          <w:b/>
          <w:bCs/>
        </w:rPr>
        <w:t>D</w:t>
      </w:r>
      <w:r w:rsidRPr="00427826">
        <w:rPr>
          <w:b/>
          <w:bCs/>
        </w:rPr>
        <w:t>ienstenrichtlijn in de Belgische wetgeving</w:t>
      </w:r>
    </w:p>
    <w:p w14:paraId="7E233811" w14:textId="72ACF096" w:rsidR="00651078" w:rsidRDefault="007860D6" w:rsidP="00196BD8">
      <w:pPr>
        <w:spacing w:line="276" w:lineRule="auto"/>
        <w:jc w:val="both"/>
      </w:pPr>
      <w:r>
        <w:t xml:space="preserve">De Dienstenrichtlijn is in 2010 geïmplementeerd in de Belgische wetgeving door middel van de </w:t>
      </w:r>
      <w:r w:rsidR="002B0166">
        <w:t>Dienstenwet</w:t>
      </w:r>
      <w:r w:rsidR="00651078">
        <w:t>.</w:t>
      </w:r>
      <w:r w:rsidR="00216F2F">
        <w:t xml:space="preserve"> </w:t>
      </w:r>
      <w:r w:rsidR="00982943">
        <w:t xml:space="preserve">De </w:t>
      </w:r>
      <w:r w:rsidR="002B0166">
        <w:t>D</w:t>
      </w:r>
      <w:r w:rsidR="00982943">
        <w:t xml:space="preserve">ienstenwet ziet </w:t>
      </w:r>
      <w:r w:rsidR="004314AF">
        <w:t>in beginsel</w:t>
      </w:r>
      <w:r w:rsidR="00982943">
        <w:t xml:space="preserve"> op informatieplichten ten aanzien van </w:t>
      </w:r>
      <w:r w:rsidR="00290D60">
        <w:t>dienstverrichters</w:t>
      </w:r>
      <w:r w:rsidR="004314AF">
        <w:t>.</w:t>
      </w:r>
      <w:r w:rsidR="00481AF2">
        <w:t xml:space="preserve"> </w:t>
      </w:r>
      <w:r w:rsidR="00445833">
        <w:t>I</w:t>
      </w:r>
      <w:r w:rsidR="00481AF2">
        <w:t xml:space="preserve">n 2013 </w:t>
      </w:r>
      <w:r w:rsidR="00445833">
        <w:t>zijn de bepalingen ook opgenomen</w:t>
      </w:r>
      <w:r w:rsidR="00481AF2">
        <w:t xml:space="preserve"> </w:t>
      </w:r>
      <w:r w:rsidR="00065DEC">
        <w:t>in</w:t>
      </w:r>
      <w:r w:rsidR="00481AF2">
        <w:t xml:space="preserve"> boek III WER</w:t>
      </w:r>
      <w:r w:rsidR="00E66AFB">
        <w:t>.</w:t>
      </w:r>
      <w:r w:rsidR="00065DEC">
        <w:t xml:space="preserve"> </w:t>
      </w:r>
      <w:r w:rsidR="00065DEC">
        <w:rPr>
          <w:rStyle w:val="Voetnootmarkering"/>
        </w:rPr>
        <w:footnoteReference w:id="116"/>
      </w:r>
      <w:r w:rsidR="00065DEC">
        <w:t xml:space="preserve"> </w:t>
      </w:r>
      <w:r w:rsidR="00445833">
        <w:t>De regeling is daarmee</w:t>
      </w:r>
      <w:r w:rsidR="0053389D">
        <w:t xml:space="preserve"> van toepassing op overeenkomsten tussen ondernemingen onderling (B2B) en ook op overeenkomsten tussen </w:t>
      </w:r>
      <w:r w:rsidR="005E66AD">
        <w:t xml:space="preserve">ondernemingen en consumenten (B2C). </w:t>
      </w:r>
      <w:r w:rsidR="0053389D">
        <w:t xml:space="preserve"> </w:t>
      </w:r>
    </w:p>
    <w:p w14:paraId="6FA6A429" w14:textId="4D265EE0" w:rsidR="00662BE5" w:rsidRDefault="000706B7" w:rsidP="00196BD8">
      <w:pPr>
        <w:spacing w:line="276" w:lineRule="auto"/>
        <w:jc w:val="both"/>
      </w:pPr>
      <w:r>
        <w:lastRenderedPageBreak/>
        <w:t xml:space="preserve">Art. </w:t>
      </w:r>
      <w:r w:rsidR="00204079">
        <w:t>III.74 WER</w:t>
      </w:r>
      <w:r w:rsidR="0043782B">
        <w:rPr>
          <w:rStyle w:val="Voetnootmarkering"/>
        </w:rPr>
        <w:footnoteReference w:id="117"/>
      </w:r>
      <w:r>
        <w:t xml:space="preserve"> stelt </w:t>
      </w:r>
      <w:r w:rsidR="006F5FAC">
        <w:t xml:space="preserve">het </w:t>
      </w:r>
      <w:r w:rsidR="008B5496">
        <w:t>ter hand stellen</w:t>
      </w:r>
      <w:r w:rsidR="006F5FAC">
        <w:t xml:space="preserve"> van de algemene voorwaarden aan de wederpartij verplicht. </w:t>
      </w:r>
      <w:r w:rsidR="003704AB">
        <w:t xml:space="preserve">Voorts bepaalt art. </w:t>
      </w:r>
      <w:r w:rsidR="00173353">
        <w:t>III.75</w:t>
      </w:r>
      <w:r w:rsidR="003704AB">
        <w:t xml:space="preserve"> </w:t>
      </w:r>
      <w:r w:rsidR="00173353">
        <w:t>WER</w:t>
      </w:r>
      <w:r w:rsidR="003704AB">
        <w:t xml:space="preserve"> de wijze</w:t>
      </w:r>
      <w:r w:rsidR="00805A7C">
        <w:t>n</w:t>
      </w:r>
      <w:r w:rsidR="003704AB">
        <w:t xml:space="preserve"> waarop de</w:t>
      </w:r>
      <w:r w:rsidR="002C5CB5">
        <w:t xml:space="preserve"> algemene voorwaarden </w:t>
      </w:r>
      <w:r w:rsidR="00CB2D3B">
        <w:t>medegedeeld</w:t>
      </w:r>
      <w:r w:rsidR="00103D4E">
        <w:t xml:space="preserve"> </w:t>
      </w:r>
      <w:r w:rsidR="008B5496">
        <w:t>kunnen</w:t>
      </w:r>
      <w:r w:rsidR="00103D4E">
        <w:t xml:space="preserve"> worden. </w:t>
      </w:r>
      <w:r w:rsidR="00CB2D3B">
        <w:t xml:space="preserve">Dit is op dezelfde wijze </w:t>
      </w:r>
      <w:r w:rsidR="008B5496">
        <w:t>vormgegeven</w:t>
      </w:r>
      <w:r w:rsidR="00CB2D3B">
        <w:t xml:space="preserve"> als </w:t>
      </w:r>
      <w:r w:rsidR="00842881">
        <w:t>de</w:t>
      </w:r>
      <w:r w:rsidR="004A24F3">
        <w:t xml:space="preserve"> Nederlandse </w:t>
      </w:r>
      <w:r w:rsidR="00842881">
        <w:t>afdeling 6.5.2A</w:t>
      </w:r>
      <w:r w:rsidR="004A24F3">
        <w:t xml:space="preserve">. </w:t>
      </w:r>
      <w:r w:rsidR="00842881">
        <w:t>Zo kunnen d</w:t>
      </w:r>
      <w:r w:rsidR="00FF6373">
        <w:t xml:space="preserve">e gegevens worden verstrekt aan de </w:t>
      </w:r>
      <w:r w:rsidR="00E9315D">
        <w:t>wederpartij</w:t>
      </w:r>
      <w:r w:rsidR="00FF6373">
        <w:t xml:space="preserve">; </w:t>
      </w:r>
      <w:r w:rsidR="00842881">
        <w:t>Ze kunnen</w:t>
      </w:r>
      <w:r w:rsidR="00FF6373">
        <w:t xml:space="preserve"> gemakkelijk toegankelijk gemaakt worden op de plaats </w:t>
      </w:r>
      <w:r w:rsidR="00E60BDB">
        <w:t>waar de activiteit wordt verricht of</w:t>
      </w:r>
      <w:r w:rsidR="00DA27E3">
        <w:t xml:space="preserve"> waar</w:t>
      </w:r>
      <w:r w:rsidR="00E60BDB">
        <w:t xml:space="preserve"> de overeenkomst wordt gesloten;</w:t>
      </w:r>
      <w:r w:rsidR="0030248F">
        <w:t xml:space="preserve"> </w:t>
      </w:r>
      <w:r w:rsidR="00110882">
        <w:t>z</w:t>
      </w:r>
      <w:r w:rsidR="00842881">
        <w:t>e kunnen</w:t>
      </w:r>
      <w:r w:rsidR="00E60BDB">
        <w:t xml:space="preserve"> voor de afnemer gemakkelijk toegankelijk gemaakt op een elektronisch adres; of </w:t>
      </w:r>
      <w:r w:rsidR="00842881">
        <w:t xml:space="preserve">ze kunnen </w:t>
      </w:r>
      <w:r w:rsidR="00B86708">
        <w:t>opgenomen</w:t>
      </w:r>
      <w:r w:rsidR="00842881">
        <w:t xml:space="preserve"> worden</w:t>
      </w:r>
      <w:r w:rsidR="00B86708">
        <w:t xml:space="preserve"> in elk door de onderneming verstrekt informatiedocument waarin </w:t>
      </w:r>
      <w:r w:rsidR="00FB4D39">
        <w:t>de diensten</w:t>
      </w:r>
      <w:r w:rsidR="00B86708">
        <w:t xml:space="preserve"> in detail wordt beschreven. </w:t>
      </w:r>
      <w:r w:rsidR="00154153">
        <w:t>Ook hier zal in het kader van onlineovereenkomsten vooral het meest gebruik worden gemaakt van de derde optie. Deze is simpelweg het meest eenvoudig en kostenbesparend.</w:t>
      </w:r>
    </w:p>
    <w:p w14:paraId="4E678FF6" w14:textId="1B1B7CA1" w:rsidR="004B06D9" w:rsidRDefault="003926BC" w:rsidP="00196BD8">
      <w:pPr>
        <w:spacing w:line="276" w:lineRule="auto"/>
        <w:jc w:val="both"/>
      </w:pPr>
      <w:r>
        <w:t>De informatie dient verder</w:t>
      </w:r>
      <w:r w:rsidR="000E293E">
        <w:t xml:space="preserve"> helder, ondubbelzinnig en tijdig, voor het sluiten van enige overeenkomst </w:t>
      </w:r>
      <w:r w:rsidR="00E508DC">
        <w:t>medegedeeld</w:t>
      </w:r>
      <w:r w:rsidR="000E293E">
        <w:t xml:space="preserve"> of beschikbaar te worden gesteld</w:t>
      </w:r>
      <w:r w:rsidR="004B06D9">
        <w:t>.</w:t>
      </w:r>
      <w:r w:rsidR="00E508DC">
        <w:rPr>
          <w:rStyle w:val="Voetnootmarkering"/>
        </w:rPr>
        <w:footnoteReference w:id="118"/>
      </w:r>
      <w:r w:rsidR="004B06D9">
        <w:t xml:space="preserve"> </w:t>
      </w:r>
      <w:r w:rsidR="00E508DC">
        <w:t>De gebruiker heeft de plicht om aan te tonen dat zij aan voornoemde eisen heeft voldaan.</w:t>
      </w:r>
      <w:r w:rsidR="00CF34DD">
        <w:rPr>
          <w:rStyle w:val="Voetnootmarkering"/>
        </w:rPr>
        <w:footnoteReference w:id="119"/>
      </w:r>
      <w:r w:rsidR="00CD3171">
        <w:t xml:space="preserve"> Ook hier volstaat een mededeling aan de wederpartij dat de informatie te vinden is op de website.</w:t>
      </w:r>
      <w:r w:rsidR="00CD3171">
        <w:rPr>
          <w:rStyle w:val="Voetnootmarkering"/>
        </w:rPr>
        <w:footnoteReference w:id="120"/>
      </w:r>
    </w:p>
    <w:p w14:paraId="1E22BDBB" w14:textId="6C25F874" w:rsidR="00E15AA5" w:rsidRPr="00704B62" w:rsidRDefault="00E15AA5" w:rsidP="00332CA2">
      <w:pPr>
        <w:pStyle w:val="Kop2"/>
        <w:numPr>
          <w:ilvl w:val="1"/>
          <w:numId w:val="3"/>
        </w:numPr>
        <w:spacing w:line="276" w:lineRule="auto"/>
        <w:jc w:val="both"/>
      </w:pPr>
      <w:bookmarkStart w:id="46" w:name="_Toc182382077"/>
      <w:bookmarkStart w:id="47" w:name="_Toc186375522"/>
      <w:r w:rsidRPr="00704B62">
        <w:t>Kennis en aanvaarding van de algemene voorwaarden</w:t>
      </w:r>
      <w:bookmarkEnd w:id="46"/>
      <w:bookmarkEnd w:id="47"/>
      <w:r w:rsidRPr="00704B62">
        <w:t xml:space="preserve"> </w:t>
      </w:r>
    </w:p>
    <w:p w14:paraId="35D57B70" w14:textId="213360B3" w:rsidR="00E15AA5" w:rsidRDefault="00E15AA5" w:rsidP="00196BD8">
      <w:pPr>
        <w:spacing w:line="276" w:lineRule="auto"/>
        <w:jc w:val="both"/>
      </w:pPr>
      <w:r>
        <w:t xml:space="preserve">De kern voor de informatieplicht omtrent algemene voorwaarden vereist kennis en aanvaarding van de algemene voorwaarden door de wederpartij. </w:t>
      </w:r>
      <w:r w:rsidR="00294D3D">
        <w:t>Er is s</w:t>
      </w:r>
      <w:r>
        <w:t>prake van gebondenheid aan de algemene voorwaarden wanneer de</w:t>
      </w:r>
      <w:r w:rsidR="00253247">
        <w:t xml:space="preserve"> gebruiker kan bewijzen dat de</w:t>
      </w:r>
      <w:r>
        <w:t xml:space="preserve"> </w:t>
      </w:r>
      <w:r w:rsidR="00253247">
        <w:t>wederpartij</w:t>
      </w:r>
      <w:r>
        <w:t xml:space="preserve"> effectieve kennis heeft van de algemene voorwaarden of ten minste de mogelijkheid</w:t>
      </w:r>
      <w:r w:rsidR="00EC6B1B">
        <w:t xml:space="preserve"> heeft gehad</w:t>
      </w:r>
      <w:r>
        <w:t xml:space="preserve"> om effectief kennis te </w:t>
      </w:r>
      <w:r w:rsidR="00A070B6">
        <w:t xml:space="preserve">kunnen </w:t>
      </w:r>
      <w:r>
        <w:t>nemen.</w:t>
      </w:r>
      <w:r>
        <w:rPr>
          <w:rStyle w:val="Voetnootmarkering"/>
        </w:rPr>
        <w:footnoteReference w:id="121"/>
      </w:r>
      <w:r>
        <w:t xml:space="preserve"> </w:t>
      </w:r>
    </w:p>
    <w:p w14:paraId="59ED3C9F" w14:textId="2714A43B" w:rsidR="00E15AA5" w:rsidRPr="002618BE" w:rsidRDefault="00E15AA5" w:rsidP="00196BD8">
      <w:pPr>
        <w:spacing w:line="276" w:lineRule="auto"/>
        <w:jc w:val="both"/>
      </w:pPr>
      <w:r>
        <w:t>Dit kwam uitgebreid aan bod in de uitspraak van het Hof van Cassatie op 20 april 2017</w:t>
      </w:r>
      <w:r>
        <w:rPr>
          <w:rStyle w:val="Voetnootmarkering"/>
        </w:rPr>
        <w:footnoteReference w:id="122"/>
      </w:r>
      <w:r>
        <w:t xml:space="preserve"> waarin in de inleidende bepalingen van het contract tussen partijen </w:t>
      </w:r>
      <w:r w:rsidR="00AF5C39">
        <w:t>een verwijzing naar de algemene voorwaarden stond</w:t>
      </w:r>
      <w:r>
        <w:t xml:space="preserve">. De wederpartij betoogt geen mogelijkheid te hebben gehad effectief kennis te nemen. Het Hof van Cassatie acht deze verwijzing in de inleidende bepaling echter wel voldoende. Daaraan voegt zij toe dat in de hypothetische situatie dat de algemene voorwaarden werkelijk niet waren bijgevoegd het aan de wederpartij zelf toekomt om, in haar hoedanigheid van normaal voorzichtig en bedachtzaam handelaar met aandacht voor het beheer van haar zaken, de gebruiker van de algemene voorwaarden hierop te wijzen, zodat deze haar alsnog kunnen worden toegezonden. </w:t>
      </w:r>
      <w:r w:rsidR="007F1900">
        <w:t xml:space="preserve">Mijns inziens is dit laatste een element </w:t>
      </w:r>
      <w:r w:rsidR="00CA1BF0">
        <w:t>dat</w:t>
      </w:r>
      <w:r w:rsidR="007F1900">
        <w:t xml:space="preserve"> wij niet zo sterk terugzien in het Nederlandse recht. Het lijkt erop dat de Belgische wederpartij</w:t>
      </w:r>
      <w:r w:rsidR="00095211">
        <w:t xml:space="preserve"> een eigen verantwoordelijkheid heeft</w:t>
      </w:r>
      <w:r w:rsidR="00924279">
        <w:t xml:space="preserve"> om alsnog de algemene voorwaarden te kunnen verkrijgen.</w:t>
      </w:r>
      <w:r w:rsidR="00E43C9D">
        <w:t xml:space="preserve"> </w:t>
      </w:r>
      <w:r w:rsidR="00924279">
        <w:t xml:space="preserve">In het Nederlandse recht kennen wij slechts dat </w:t>
      </w:r>
      <w:r w:rsidR="008B5496">
        <w:t xml:space="preserve">de verantwoordelijkheid </w:t>
      </w:r>
      <w:r w:rsidR="00924279">
        <w:t xml:space="preserve">van terhandstelling </w:t>
      </w:r>
      <w:r w:rsidR="00924279">
        <w:lastRenderedPageBreak/>
        <w:t>van de algemene voorwaarden bij de gebruiker ligt.</w:t>
      </w:r>
      <w:r w:rsidR="00924279">
        <w:rPr>
          <w:rStyle w:val="Voetnootmarkering"/>
        </w:rPr>
        <w:footnoteReference w:id="123"/>
      </w:r>
      <w:r w:rsidR="00924279">
        <w:t xml:space="preserve"> </w:t>
      </w:r>
      <w:r w:rsidR="00515AF1">
        <w:t>Het Hof van Cassatie bevestig</w:t>
      </w:r>
      <w:r w:rsidR="00E470B6">
        <w:t>de daarnaast</w:t>
      </w:r>
      <w:r w:rsidR="00515AF1">
        <w:t xml:space="preserve"> in september 2016</w:t>
      </w:r>
      <w:r w:rsidR="00E470B6">
        <w:t xml:space="preserve"> al</w:t>
      </w:r>
      <w:r w:rsidR="00515AF1">
        <w:t xml:space="preserve"> dat </w:t>
      </w:r>
      <w:r w:rsidR="008C7C07">
        <w:t>ook bij</w:t>
      </w:r>
      <w:r w:rsidR="00515AF1">
        <w:t xml:space="preserve"> </w:t>
      </w:r>
      <w:r w:rsidR="0067690E">
        <w:t>elektronisch gesloten overeenkomsten</w:t>
      </w:r>
      <w:r w:rsidR="00FB363A">
        <w:t xml:space="preserve"> geldt dat de ondergrens een redelijke mogelijkheid tot kennisname van de algemene voorwaarden is</w:t>
      </w:r>
      <w:r w:rsidR="0067690E">
        <w:t>.</w:t>
      </w:r>
      <w:r w:rsidR="0067690E">
        <w:rPr>
          <w:rStyle w:val="Voetnootmarkering"/>
        </w:rPr>
        <w:footnoteReference w:id="124"/>
      </w:r>
      <w:r w:rsidR="001B397E">
        <w:t xml:space="preserve"> </w:t>
      </w:r>
    </w:p>
    <w:p w14:paraId="7D3B7DCB" w14:textId="6D8FC466" w:rsidR="00E15AA5" w:rsidRDefault="00657D52" w:rsidP="00196BD8">
      <w:pPr>
        <w:spacing w:line="276" w:lineRule="auto"/>
        <w:jc w:val="both"/>
      </w:pPr>
      <w:r>
        <w:t>Wat onder de redelijke mogelijkheid tot kennis</w:t>
      </w:r>
      <w:r w:rsidR="00FB363A">
        <w:t>name</w:t>
      </w:r>
      <w:r>
        <w:t xml:space="preserve"> valt is in beginsel een </w:t>
      </w:r>
      <w:r w:rsidR="00D82166">
        <w:t>afweging van de feiten en omstandigheden van het geval</w:t>
      </w:r>
      <w:r>
        <w:t xml:space="preserve">. </w:t>
      </w:r>
      <w:r w:rsidR="00E15AA5">
        <w:t>Bij de beoordeling van de kennisname van de algemene voorwaarden wordt in beginsel rekening gehouden met de beschikbaarheid, de zichtbaarheid en de begrijpelijkheid van de algemene voorwaarden.</w:t>
      </w:r>
      <w:r w:rsidR="00E15AA5">
        <w:rPr>
          <w:rStyle w:val="Voetnootmarkering"/>
        </w:rPr>
        <w:footnoteReference w:id="125"/>
      </w:r>
      <w:r w:rsidR="00A6014F">
        <w:t xml:space="preserve"> </w:t>
      </w:r>
    </w:p>
    <w:p w14:paraId="341E8EEE" w14:textId="429C9444" w:rsidR="00090875" w:rsidRPr="000A1F18" w:rsidRDefault="00090875" w:rsidP="00332CA2">
      <w:pPr>
        <w:pStyle w:val="Lijstalinea"/>
        <w:numPr>
          <w:ilvl w:val="2"/>
          <w:numId w:val="3"/>
        </w:numPr>
        <w:spacing w:line="276" w:lineRule="auto"/>
        <w:jc w:val="both"/>
        <w:rPr>
          <w:b/>
          <w:bCs/>
        </w:rPr>
      </w:pPr>
      <w:r w:rsidRPr="000A1F18">
        <w:rPr>
          <w:b/>
          <w:bCs/>
        </w:rPr>
        <w:t>De beschikbaarheid</w:t>
      </w:r>
    </w:p>
    <w:p w14:paraId="7F8B8188" w14:textId="22A67428" w:rsidR="00726A09" w:rsidRDefault="004725EA" w:rsidP="00196BD8">
      <w:pPr>
        <w:spacing w:line="276" w:lineRule="auto"/>
        <w:jc w:val="both"/>
      </w:pPr>
      <w:r>
        <w:t>De beschikbaarheid</w:t>
      </w:r>
      <w:r w:rsidR="009B77B0">
        <w:t xml:space="preserve"> slaat op de </w:t>
      </w:r>
      <w:r w:rsidR="008272C1">
        <w:t xml:space="preserve">vraag of de algemene voorwaarden daadwerkelijk zijn overhandigd of </w:t>
      </w:r>
      <w:r w:rsidR="005B0604">
        <w:t>medegedeeld</w:t>
      </w:r>
      <w:r w:rsidR="008272C1">
        <w:t xml:space="preserve"> aan de wederpartij</w:t>
      </w:r>
      <w:r w:rsidR="00740ADB">
        <w:t>.</w:t>
      </w:r>
      <w:r w:rsidR="004231EE">
        <w:rPr>
          <w:rStyle w:val="Voetnootmarkering"/>
        </w:rPr>
        <w:footnoteReference w:id="126"/>
      </w:r>
      <w:r w:rsidR="00740ADB">
        <w:t xml:space="preserve"> </w:t>
      </w:r>
      <w:r w:rsidR="008272C1">
        <w:t xml:space="preserve"> Wanneer </w:t>
      </w:r>
      <w:r w:rsidR="005B0604">
        <w:t>een gebruiker van de algemene voorwaarden de algemene voorwaarden bijvoorbeeld naar het (juiste) email</w:t>
      </w:r>
      <w:r w:rsidR="00E0465B">
        <w:t>-</w:t>
      </w:r>
      <w:r w:rsidR="005B0604">
        <w:t>adres van de wederpartij toestuurt</w:t>
      </w:r>
      <w:r w:rsidR="00767469">
        <w:t xml:space="preserve">, kan de wederpartij niet stellen dat </w:t>
      </w:r>
      <w:r w:rsidR="00EF6F08">
        <w:t>het onmogelijk was</w:t>
      </w:r>
      <w:r w:rsidR="00767469">
        <w:t xml:space="preserve"> om kennis te nemen van de algemene voorwaarden. </w:t>
      </w:r>
      <w:r w:rsidR="009D07BD">
        <w:t xml:space="preserve">Voor zover er in dat geval geen problemen zijn met de zichtbaarheid en begrijpelijkheid zullen </w:t>
      </w:r>
      <w:r w:rsidR="004C0296">
        <w:t>de algemene voorwaarden</w:t>
      </w:r>
      <w:r w:rsidR="009D07BD">
        <w:t xml:space="preserve"> dus gewoon van toepassing zijn op de overeenkomst.</w:t>
      </w:r>
      <w:r w:rsidR="007B64C5">
        <w:rPr>
          <w:rStyle w:val="Voetnootmarkering"/>
        </w:rPr>
        <w:footnoteReference w:id="127"/>
      </w:r>
      <w:r w:rsidR="00726A09">
        <w:t xml:space="preserve"> </w:t>
      </w:r>
    </w:p>
    <w:p w14:paraId="30983B0C" w14:textId="5126790A" w:rsidR="00010C2F" w:rsidRDefault="00E15AA5" w:rsidP="00196BD8">
      <w:pPr>
        <w:spacing w:line="276" w:lineRule="auto"/>
        <w:jc w:val="both"/>
      </w:pPr>
      <w:r>
        <w:t>Er kan van worden uitgegaan dat</w:t>
      </w:r>
      <w:r w:rsidR="00D036FE">
        <w:t xml:space="preserve"> </w:t>
      </w:r>
      <w:r w:rsidR="00FB58E6">
        <w:t>de algemene voorwaarden op zijn minst op een juiste wijze beschikbaar zijn gesteld als</w:t>
      </w:r>
      <w:r w:rsidR="00D036FE">
        <w:t xml:space="preserve"> aan een van de in art. III.75 WER genoemde </w:t>
      </w:r>
      <w:r w:rsidR="00F7558C">
        <w:t>opties</w:t>
      </w:r>
      <w:r w:rsidR="00FB58E6">
        <w:t xml:space="preserve"> is voldaan</w:t>
      </w:r>
      <w:r w:rsidR="00F7558C">
        <w:t xml:space="preserve">. Voor een onlineovereenkomst zou de meest voor de </w:t>
      </w:r>
      <w:r w:rsidR="00C10826">
        <w:t>hand liggende</w:t>
      </w:r>
      <w:r w:rsidR="00F7558C">
        <w:t xml:space="preserve"> wijze zijn om </w:t>
      </w:r>
      <w:r w:rsidR="00B54C3B">
        <w:t>de algemene voorwaarden</w:t>
      </w:r>
      <w:r w:rsidR="00F7558C">
        <w:t xml:space="preserve"> simpelweg ter </w:t>
      </w:r>
      <w:r w:rsidR="00143265">
        <w:t>beschikking</w:t>
      </w:r>
      <w:r w:rsidR="00F7558C">
        <w:t xml:space="preserve"> te stellen op de</w:t>
      </w:r>
      <w:r w:rsidR="00143265">
        <w:t xml:space="preserve"> website</w:t>
      </w:r>
      <w:r w:rsidR="00AF6408">
        <w:t>.</w:t>
      </w:r>
      <w:r w:rsidR="007B216B">
        <w:t xml:space="preserve"> </w:t>
      </w:r>
    </w:p>
    <w:p w14:paraId="370A73C6" w14:textId="5EB59E71" w:rsidR="00DA0631" w:rsidRDefault="00A740A6" w:rsidP="00196BD8">
      <w:pPr>
        <w:spacing w:line="276" w:lineRule="auto"/>
        <w:jc w:val="both"/>
      </w:pPr>
      <w:r>
        <w:t>E</w:t>
      </w:r>
      <w:r w:rsidR="00010C2F">
        <w:t>r</w:t>
      </w:r>
      <w:r>
        <w:t xml:space="preserve"> wordt </w:t>
      </w:r>
      <w:r w:rsidR="00E078F7">
        <w:t>door de gebruiker</w:t>
      </w:r>
      <w:r w:rsidR="00FE56DC">
        <w:t xml:space="preserve"> van de algemene voorwaarden</w:t>
      </w:r>
      <w:r w:rsidR="00E078F7">
        <w:t xml:space="preserve"> </w:t>
      </w:r>
      <w:r w:rsidR="008A50E5">
        <w:t>in de praktijk</w:t>
      </w:r>
      <w:r w:rsidR="00374AC7">
        <w:t xml:space="preserve"> </w:t>
      </w:r>
      <w:r w:rsidR="003F2A17">
        <w:t xml:space="preserve">veel </w:t>
      </w:r>
      <w:r w:rsidR="00374AC7">
        <w:t>gebruik gemaakt van</w:t>
      </w:r>
      <w:r w:rsidR="00E078F7">
        <w:t xml:space="preserve"> kennisname- en aanvaardingsclausules</w:t>
      </w:r>
      <w:r w:rsidR="00C738E4">
        <w:t>, vaak in combinatie met elkaar.</w:t>
      </w:r>
      <w:r w:rsidR="00345DC6">
        <w:t xml:space="preserve"> </w:t>
      </w:r>
      <w:r w:rsidR="00D3052D">
        <w:t>Een kennisname</w:t>
      </w:r>
      <w:r w:rsidR="00F62EE5">
        <w:t xml:space="preserve">- of aanvaardingsbeding kan zowel worden gebruikt voor schriftelijke als </w:t>
      </w:r>
      <w:r w:rsidR="000F56E0">
        <w:t xml:space="preserve">voor </w:t>
      </w:r>
      <w:r w:rsidR="00F62EE5">
        <w:t>elektronische overeenkomsten.</w:t>
      </w:r>
      <w:r w:rsidR="00F62EE5">
        <w:rPr>
          <w:rStyle w:val="Voetnootmarkering"/>
        </w:rPr>
        <w:footnoteReference w:id="128"/>
      </w:r>
      <w:r w:rsidR="00B570E1">
        <w:t xml:space="preserve"> </w:t>
      </w:r>
      <w:r w:rsidR="00345DC6">
        <w:t xml:space="preserve">Denk hierbij </w:t>
      </w:r>
      <w:r w:rsidR="001B356A">
        <w:t xml:space="preserve">aan </w:t>
      </w:r>
      <w:r w:rsidR="00012D51">
        <w:t>het vakje ‘</w:t>
      </w:r>
      <w:r w:rsidR="001A5D83">
        <w:t>I</w:t>
      </w:r>
      <w:r w:rsidR="00012D51">
        <w:t xml:space="preserve">k </w:t>
      </w:r>
      <w:r w:rsidR="00DE3DE0">
        <w:t xml:space="preserve">ga akkoord met de algemene voorwaarden en ik heb hiervan </w:t>
      </w:r>
      <w:r w:rsidR="001704B6">
        <w:t>kennisgenomen</w:t>
      </w:r>
      <w:r w:rsidR="00012D51">
        <w:t xml:space="preserve">’ </w:t>
      </w:r>
      <w:r w:rsidR="00DE3DE0">
        <w:t xml:space="preserve">wat vaak vereist is om aan te vinken voordat je verder wilt gaan naar afrekenen </w:t>
      </w:r>
      <w:r w:rsidR="007B7332">
        <w:t>op een webshop.</w:t>
      </w:r>
      <w:r w:rsidR="00B570E1">
        <w:t xml:space="preserve"> Ook in Nederland kennen wij dit.</w:t>
      </w:r>
      <w:r w:rsidR="007B7332">
        <w:t xml:space="preserve"> </w:t>
      </w:r>
      <w:r w:rsidR="00E078F7">
        <w:t>Dit zijn</w:t>
      </w:r>
      <w:r w:rsidR="008B2F6D">
        <w:t xml:space="preserve"> contractuele</w:t>
      </w:r>
      <w:r w:rsidR="00E078F7">
        <w:t xml:space="preserve"> clausules die </w:t>
      </w:r>
      <w:r w:rsidR="00801463">
        <w:t xml:space="preserve">tot doel hebben de aanvaarding en/of kennisname van de </w:t>
      </w:r>
      <w:r w:rsidR="00517474">
        <w:t xml:space="preserve">eenzijdige </w:t>
      </w:r>
      <w:r w:rsidR="00801463">
        <w:t xml:space="preserve">algemene voorwaarden vast te leggen en te bevestigen. </w:t>
      </w:r>
    </w:p>
    <w:p w14:paraId="00435605" w14:textId="45FC9F88" w:rsidR="00410ACD" w:rsidRDefault="0067747C" w:rsidP="00196BD8">
      <w:pPr>
        <w:spacing w:line="276" w:lineRule="auto"/>
        <w:jc w:val="both"/>
      </w:pPr>
      <w:r>
        <w:t>In de rechtspraak worden de kennisname- en aanvaardingsbedingen vrijwel altijd aanvaard.</w:t>
      </w:r>
      <w:r w:rsidR="00CE2328">
        <w:rPr>
          <w:rStyle w:val="Voetnootmarkering"/>
        </w:rPr>
        <w:footnoteReference w:id="129"/>
      </w:r>
      <w:r w:rsidR="009E61B3">
        <w:t xml:space="preserve"> </w:t>
      </w:r>
      <w:r w:rsidR="003265D3">
        <w:t xml:space="preserve"> Van belang is hierbij wel</w:t>
      </w:r>
      <w:r w:rsidR="00DA0631">
        <w:t xml:space="preserve"> </w:t>
      </w:r>
      <w:r w:rsidR="003265D3">
        <w:t>dat de wederpartij daadwerkelijk de mogelijkheid moet hebben gehad om van deze algemene voorwaarden kennis t</w:t>
      </w:r>
      <w:r w:rsidR="00410ACD">
        <w:t xml:space="preserve">e nemen. Zou er </w:t>
      </w:r>
      <w:r w:rsidR="00410ACD">
        <w:lastRenderedPageBreak/>
        <w:t>akkoord worden gegaan met een kennisname- en aanvaardingsclausule, maar was er geen mogelijkheid om van de algemene voorwaarden kennis te nemen</w:t>
      </w:r>
      <w:r w:rsidR="00EB5D08">
        <w:t>,</w:t>
      </w:r>
      <w:r w:rsidR="00410ACD">
        <w:t xml:space="preserve"> dan </w:t>
      </w:r>
      <w:r w:rsidR="00C9534C">
        <w:t xml:space="preserve">wordt de clausule nietig verklaard. </w:t>
      </w:r>
      <w:r w:rsidR="00AD6FA9">
        <w:t xml:space="preserve">Het </w:t>
      </w:r>
      <w:r w:rsidR="00BC6A8E">
        <w:t>wordt</w:t>
      </w:r>
      <w:r w:rsidR="009D030F">
        <w:t xml:space="preserve"> </w:t>
      </w:r>
      <w:r w:rsidR="00BC6A8E">
        <w:t>dan</w:t>
      </w:r>
      <w:r w:rsidR="009D030F">
        <w:t xml:space="preserve"> aangemerkt als een oneerlijke handelspraktijk waardoor het in strijd </w:t>
      </w:r>
      <w:r w:rsidR="00BC6A8E">
        <w:t>is</w:t>
      </w:r>
      <w:r w:rsidR="00AD6FA9">
        <w:t xml:space="preserve"> met art. VI.94/4 lid 4 WER.</w:t>
      </w:r>
      <w:r w:rsidR="00F7705B">
        <w:t xml:space="preserve"> </w:t>
      </w:r>
      <w:r w:rsidR="00AF6C8B">
        <w:t>Dit heeft het</w:t>
      </w:r>
      <w:r w:rsidR="00645927">
        <w:t xml:space="preserve"> hof </w:t>
      </w:r>
      <w:r w:rsidR="006F6CE1">
        <w:t>van Beroep van</w:t>
      </w:r>
      <w:r w:rsidR="00ED0E16">
        <w:t xml:space="preserve"> Antwerpen</w:t>
      </w:r>
      <w:r w:rsidR="006F6CE1">
        <w:t xml:space="preserve"> </w:t>
      </w:r>
      <w:r w:rsidR="00645927">
        <w:t xml:space="preserve">in de uitspraak van </w:t>
      </w:r>
      <w:r w:rsidR="00AF6C8B">
        <w:t xml:space="preserve">15 februari 2023 bevestigd. Belangrijk is nog wel dat daaraan </w:t>
      </w:r>
      <w:r w:rsidR="00BC6A8E">
        <w:t>wordt</w:t>
      </w:r>
      <w:r w:rsidR="00AF6C8B">
        <w:t xml:space="preserve"> toegevoegd dat nietigheid van de clausule op bovenstaande grond </w:t>
      </w:r>
      <w:r w:rsidR="00F7705B">
        <w:t>de gebruiker van de algemene voorwaarden niet verhinder</w:t>
      </w:r>
      <w:r w:rsidR="00BB0958">
        <w:t>t</w:t>
      </w:r>
      <w:r w:rsidR="00F7705B">
        <w:t xml:space="preserve"> om alsnog aan te tonen dat de algemene voorwaarden wel van toepassing zijn.</w:t>
      </w:r>
      <w:r w:rsidR="00F7705B">
        <w:rPr>
          <w:rStyle w:val="Voetnootmarkering"/>
        </w:rPr>
        <w:footnoteReference w:id="130"/>
      </w:r>
    </w:p>
    <w:p w14:paraId="7C94BEC2" w14:textId="33D019BF" w:rsidR="00010C2F" w:rsidRDefault="00F23A2F" w:rsidP="00196BD8">
      <w:pPr>
        <w:spacing w:line="276" w:lineRule="auto"/>
        <w:jc w:val="both"/>
      </w:pPr>
      <w:r>
        <w:t xml:space="preserve">Mijns inziens brengt </w:t>
      </w:r>
      <w:r w:rsidR="0027705E">
        <w:t>een kennisname</w:t>
      </w:r>
      <w:r w:rsidR="00556877">
        <w:t>- en aanvaardings</w:t>
      </w:r>
      <w:r w:rsidR="0027705E">
        <w:t>beding</w:t>
      </w:r>
      <w:r w:rsidR="00266A6F">
        <w:t>, zowel in Nederland als in België,</w:t>
      </w:r>
      <w:r w:rsidR="0027705E">
        <w:t xml:space="preserve"> slechts een vermoeden van </w:t>
      </w:r>
      <w:r w:rsidR="003B4919">
        <w:t>kennisname tot stand</w:t>
      </w:r>
      <w:r w:rsidR="000E1BC6">
        <w:t xml:space="preserve">, dat steeds </w:t>
      </w:r>
      <w:r w:rsidR="00F9783F">
        <w:t>zal</w:t>
      </w:r>
      <w:r w:rsidR="000E1BC6">
        <w:t xml:space="preserve"> kunnen worden weerlegd. De wederpartij kan namelijk altijd proberen aan te tonen dat zij geen </w:t>
      </w:r>
      <w:r w:rsidR="00C71876">
        <w:t xml:space="preserve">redelijke mogelijkheid tot </w:t>
      </w:r>
      <w:r w:rsidR="000E1BC6">
        <w:t>kennis</w:t>
      </w:r>
      <w:r w:rsidR="00C71876">
        <w:t>name</w:t>
      </w:r>
      <w:r w:rsidR="000E1BC6">
        <w:t xml:space="preserve"> </w:t>
      </w:r>
      <w:r w:rsidR="00C71876">
        <w:t xml:space="preserve">van de algemene voorwaarden </w:t>
      </w:r>
      <w:r w:rsidR="00025BE4">
        <w:t>heeft</w:t>
      </w:r>
      <w:r w:rsidR="00C71876">
        <w:t xml:space="preserve"> gehad</w:t>
      </w:r>
      <w:r w:rsidR="00556877">
        <w:t xml:space="preserve">. </w:t>
      </w:r>
      <w:r w:rsidR="00651B9D">
        <w:t xml:space="preserve">De </w:t>
      </w:r>
      <w:r w:rsidR="005C071F">
        <w:t xml:space="preserve">Belgische </w:t>
      </w:r>
      <w:r w:rsidR="00651B9D">
        <w:t>rechtspraak gaat er echter vaak vanuit dat het ondertekenen van het beding het bewijs levert van een effectieve instemming met de algemene voorwaarden</w:t>
      </w:r>
      <w:r w:rsidR="00494268">
        <w:t>.</w:t>
      </w:r>
      <w:r w:rsidR="00556877">
        <w:t xml:space="preserve"> D</w:t>
      </w:r>
      <w:r w:rsidR="00494268">
        <w:t xml:space="preserve">an had een dergelijke partij </w:t>
      </w:r>
      <w:r w:rsidR="00ED4C9A">
        <w:t>dergelijke voorwaarden maar niet moeten ondertekenen.</w:t>
      </w:r>
      <w:r w:rsidR="00ED4C9A">
        <w:rPr>
          <w:rStyle w:val="Voetnootmarkering"/>
        </w:rPr>
        <w:footnoteReference w:id="131"/>
      </w:r>
      <w:r w:rsidR="00A85B15">
        <w:t xml:space="preserve"> Bij een aanvaardings</w:t>
      </w:r>
      <w:r w:rsidR="00707667">
        <w:t xml:space="preserve">clausule is verder van groot belang dat </w:t>
      </w:r>
      <w:r w:rsidR="00305500">
        <w:t xml:space="preserve">het voldoende duidelijk is, dit wil zeggen leesbaar en ondubbelzinnig, dat de wederpartij </w:t>
      </w:r>
      <w:r w:rsidR="000D5E11">
        <w:t>bij ondertekening van de clausule</w:t>
      </w:r>
      <w:r w:rsidR="009524D3">
        <w:t xml:space="preserve"> </w:t>
      </w:r>
      <w:r w:rsidR="00305500">
        <w:t>akkoord gaat met de algemene</w:t>
      </w:r>
      <w:r w:rsidR="000D5E11">
        <w:t xml:space="preserve"> voorwaarden.</w:t>
      </w:r>
      <w:r w:rsidR="000D5E11">
        <w:rPr>
          <w:rStyle w:val="Voetnootmarkering"/>
        </w:rPr>
        <w:footnoteReference w:id="132"/>
      </w:r>
    </w:p>
    <w:p w14:paraId="7A8A55E6" w14:textId="48B67959" w:rsidR="00BC5D95" w:rsidRDefault="00E15AA5" w:rsidP="00196BD8">
      <w:pPr>
        <w:spacing w:line="276" w:lineRule="auto"/>
        <w:jc w:val="both"/>
      </w:pPr>
      <w:r>
        <w:t xml:space="preserve">Tot slot is nog interessant dat </w:t>
      </w:r>
      <w:r w:rsidR="00251D53">
        <w:t>er</w:t>
      </w:r>
      <w:r>
        <w:t xml:space="preserve"> een uitzondering </w:t>
      </w:r>
      <w:r w:rsidR="00251D53">
        <w:t>is</w:t>
      </w:r>
      <w:r>
        <w:t xml:space="preserve"> op het </w:t>
      </w:r>
      <w:r w:rsidR="00251D53">
        <w:t>eerdergenoemde</w:t>
      </w:r>
      <w:r w:rsidR="00017AE1">
        <w:t xml:space="preserve"> </w:t>
      </w:r>
      <w:r w:rsidR="00111F95">
        <w:t>kennisnamevereiste</w:t>
      </w:r>
      <w:r>
        <w:t>.</w:t>
      </w:r>
      <w:r w:rsidR="006E4382">
        <w:t xml:space="preserve"> Dit is een uitzondering die wij in Nederland niet kennen.</w:t>
      </w:r>
      <w:r>
        <w:t xml:space="preserve"> Het gaat om bedingen die voor een consument als buitensporig kunnen worden aangemerkt.  Deze bedingen moeten uitdrukkelijk onder de aandacht worden gebracht voor de consument en een enkele verwijzing op de voorzijde</w:t>
      </w:r>
      <w:r w:rsidR="00D175C0">
        <w:t xml:space="preserve"> van een overeenkomst</w:t>
      </w:r>
      <w:r>
        <w:t xml:space="preserve"> is in dat geval onvoldoende. Bedingen zijn buitensporig wanneer deze in de betrokken sector </w:t>
      </w:r>
      <w:r w:rsidR="00F257D4">
        <w:t>ten aanzien van</w:t>
      </w:r>
      <w:r>
        <w:t xml:space="preserve"> soortgelijke contracten ongebruikelijk zijn en </w:t>
      </w:r>
      <w:r w:rsidR="00A11F88">
        <w:t xml:space="preserve">wanneer </w:t>
      </w:r>
      <w:r>
        <w:t xml:space="preserve">mag worden aangenomen dat de wederpartij, gelet op de omstandigheden rond de contractsluiting, er niet op bedacht is geweest. </w:t>
      </w:r>
      <w:r>
        <w:rPr>
          <w:rStyle w:val="Voetnootmarkering"/>
        </w:rPr>
        <w:footnoteReference w:id="133"/>
      </w:r>
      <w:r>
        <w:t xml:space="preserve"> Voorbeelden van </w:t>
      </w:r>
      <w:r w:rsidRPr="00871176">
        <w:rPr>
          <w:i/>
          <w:iCs/>
        </w:rPr>
        <w:t>ongebruikelijke</w:t>
      </w:r>
      <w:r>
        <w:t xml:space="preserve"> bedingen zijn: overdreven exoneratiebedingen, bedingen die een buitenlandse rechtbank bevoegd verklaren, arbitrageclausules, enz. Gebruikelijke bedingen kunnen dan bijvoorbeeld weer bedingen omtrent leverings- en betalingsvoorwaarden of niet overdreven schadebedingen zijn.</w:t>
      </w:r>
      <w:r w:rsidR="00B06E02">
        <w:rPr>
          <w:rStyle w:val="Voetnootmarkering"/>
        </w:rPr>
        <w:footnoteReference w:id="134"/>
      </w:r>
      <w:r>
        <w:t xml:space="preserve"> </w:t>
      </w:r>
    </w:p>
    <w:p w14:paraId="5DED202A" w14:textId="77777777" w:rsidR="005E312F" w:rsidRDefault="005E312F" w:rsidP="00196BD8">
      <w:pPr>
        <w:spacing w:line="276" w:lineRule="auto"/>
        <w:jc w:val="both"/>
      </w:pPr>
    </w:p>
    <w:p w14:paraId="28E91B55" w14:textId="77777777" w:rsidR="005E312F" w:rsidRDefault="005E312F" w:rsidP="00196BD8">
      <w:pPr>
        <w:spacing w:line="276" w:lineRule="auto"/>
        <w:jc w:val="both"/>
        <w:rPr>
          <w:color w:val="FF0000"/>
        </w:rPr>
      </w:pPr>
    </w:p>
    <w:p w14:paraId="7BDDAD2F" w14:textId="75B42329" w:rsidR="00F911BA" w:rsidRDefault="00F911BA" w:rsidP="00332CA2">
      <w:pPr>
        <w:pStyle w:val="Lijstalinea"/>
        <w:numPr>
          <w:ilvl w:val="2"/>
          <w:numId w:val="3"/>
        </w:numPr>
        <w:spacing w:line="276" w:lineRule="auto"/>
        <w:jc w:val="both"/>
        <w:rPr>
          <w:b/>
          <w:bCs/>
        </w:rPr>
      </w:pPr>
      <w:r w:rsidRPr="00F911BA">
        <w:rPr>
          <w:b/>
          <w:bCs/>
        </w:rPr>
        <w:lastRenderedPageBreak/>
        <w:t>De zichtbaarheid</w:t>
      </w:r>
      <w:r w:rsidR="00215A6E">
        <w:rPr>
          <w:b/>
          <w:bCs/>
        </w:rPr>
        <w:t>,</w:t>
      </w:r>
      <w:r w:rsidRPr="00F911BA">
        <w:rPr>
          <w:b/>
          <w:bCs/>
        </w:rPr>
        <w:t xml:space="preserve"> leesbaarheid</w:t>
      </w:r>
      <w:r w:rsidR="00215A6E">
        <w:rPr>
          <w:b/>
          <w:bCs/>
        </w:rPr>
        <w:t xml:space="preserve"> en begrijpelijkheid </w:t>
      </w:r>
    </w:p>
    <w:p w14:paraId="5E4C9E02" w14:textId="26D1E3D3" w:rsidR="000A4D28" w:rsidRPr="00E20DC0" w:rsidRDefault="00E20DC0" w:rsidP="00196BD8">
      <w:pPr>
        <w:spacing w:line="276" w:lineRule="auto"/>
        <w:jc w:val="both"/>
      </w:pPr>
      <w:r>
        <w:t>Een tweede element is dat algemene voorwaarden voldoende zichtbaar dienen te zijn. Dit kan zien op het</w:t>
      </w:r>
      <w:r w:rsidR="00D05F5C">
        <w:t xml:space="preserve"> lettertype, de grootte van de letters en de kleur. Ook is de plaats waar zij gevonden kunnen worden relevant.</w:t>
      </w:r>
    </w:p>
    <w:p w14:paraId="1D0F96C6" w14:textId="681937B7" w:rsidR="000A4D28" w:rsidRPr="00D75FD2" w:rsidRDefault="000A4D28" w:rsidP="00196BD8">
      <w:pPr>
        <w:spacing w:line="276" w:lineRule="auto"/>
        <w:jc w:val="both"/>
      </w:pPr>
      <w:r>
        <w:t>In 2021 heeft het Hof van Cassatie zich moeten uitspreken over de mogelijkheid tot kennisneming van een beding voor consumenten.</w:t>
      </w:r>
      <w:r>
        <w:rPr>
          <w:rStyle w:val="Voetnootmarkering"/>
        </w:rPr>
        <w:footnoteReference w:id="135"/>
      </w:r>
      <w:r>
        <w:t xml:space="preserve"> Dit arrest is vanuit meerdere oogpunten interessant. Zo houdt het eerst een bevestiging in van de al bestaande regel dat algemene voorwaarden slechts deel kunnen uitmaken van een overeenkomst indien de </w:t>
      </w:r>
      <w:r w:rsidR="00206DD5">
        <w:t>wederpartij</w:t>
      </w:r>
      <w:r>
        <w:t xml:space="preserve"> van het beding kennis heeft genomen of deze mogelijkheid redelijkerwijs had. </w:t>
      </w:r>
      <w:r w:rsidR="000A289E">
        <w:t xml:space="preserve">Daarnaast illustreert het arrest goed wanneer er een probleem kan ontstaan rondom de zichtbaarheid van de algemene voorwaarden. </w:t>
      </w:r>
      <w:r w:rsidR="00650B69">
        <w:t>Zo</w:t>
      </w:r>
      <w:r>
        <w:t xml:space="preserve"> heeft het Hof van Cassatie verduidelijkt dat aan het </w:t>
      </w:r>
      <w:r w:rsidR="00D902F5">
        <w:t>zichtbaarheidsvereiste</w:t>
      </w:r>
      <w:r>
        <w:t xml:space="preserve"> voldaan is</w:t>
      </w:r>
      <w:r w:rsidR="00D40AD7">
        <w:t xml:space="preserve"> </w:t>
      </w:r>
      <w:r>
        <w:t>indien de algemene voorwaarden vermeld staan op de keerzijde van de overeenkomst, mits hiernaar wordt verwezen op de voorzijde van de overeenkomst.</w:t>
      </w:r>
      <w:r>
        <w:rPr>
          <w:rStyle w:val="Voetnootmarkering"/>
        </w:rPr>
        <w:footnoteReference w:id="136"/>
      </w:r>
      <w:r>
        <w:t xml:space="preserve"> </w:t>
      </w:r>
      <w:r w:rsidR="00E80126">
        <w:t>Van belang is hierbij</w:t>
      </w:r>
      <w:r>
        <w:t xml:space="preserve"> dat er daadwerkelijk een verwijzing moet staan. Indien er louter een handtekening is gezet op de voorzijde van de overeenkomst</w:t>
      </w:r>
      <w:r w:rsidR="00E06343">
        <w:t>, maar er is geen verwijzing,</w:t>
      </w:r>
      <w:r>
        <w:t xml:space="preserve"> kan niet zomaar worden afgeleid dat er ook daadwerkelijk akkoord is gegaan met de algemene voorwaarden op de achterzijde van de overeenkomst.</w:t>
      </w:r>
      <w:r>
        <w:rPr>
          <w:rStyle w:val="Voetnootmarkering"/>
        </w:rPr>
        <w:footnoteReference w:id="137"/>
      </w:r>
      <w:r>
        <w:t xml:space="preserve"> </w:t>
      </w:r>
      <w:r w:rsidR="00552ECF">
        <w:t xml:space="preserve"> De rechtspraak besluit dan ook vaak tot niet-toepassing van de algemene voorwaarden indien er geen verwijzing staat.</w:t>
      </w:r>
      <w:r w:rsidR="007622A3">
        <w:rPr>
          <w:rStyle w:val="Voetnootmarkering"/>
        </w:rPr>
        <w:footnoteReference w:id="138"/>
      </w:r>
      <w:r w:rsidR="00E06343">
        <w:t xml:space="preserve"> Mijns inziens zal hetzelfde gelden voor het gebruik van elektronische </w:t>
      </w:r>
      <w:r w:rsidR="00D07E49">
        <w:t>algemene voorwaarden</w:t>
      </w:r>
      <w:r w:rsidR="00E06343">
        <w:t xml:space="preserve">. Wanneer er geen verwijzing naar de vindplaats van de elektronische </w:t>
      </w:r>
      <w:r w:rsidR="00D07E49">
        <w:t>algemene voorwaarden</w:t>
      </w:r>
      <w:r w:rsidR="00E06343">
        <w:t xml:space="preserve"> bestaat, zullen deze ook niet van toepassing kunnen zijn op de overeenkomst</w:t>
      </w:r>
      <w:r w:rsidR="008B5496">
        <w:t>.</w:t>
      </w:r>
      <w:r w:rsidR="00B55A08">
        <w:t xml:space="preserve"> Ook al is de vindplaats heel voor de hand liggend.</w:t>
      </w:r>
    </w:p>
    <w:p w14:paraId="1D24E75D" w14:textId="2EA0E28C" w:rsidR="008860A5" w:rsidRDefault="0036128E" w:rsidP="00196BD8">
      <w:pPr>
        <w:spacing w:line="276" w:lineRule="auto"/>
        <w:jc w:val="both"/>
      </w:pPr>
      <w:r>
        <w:t>Elk element en elk beding in de overeenkomst moet</w:t>
      </w:r>
      <w:r w:rsidR="005B3035">
        <w:t xml:space="preserve"> verder</w:t>
      </w:r>
      <w:r>
        <w:t xml:space="preserve"> helder, ondubbelzinnig en tijdig voor het sluiten van de overeenkomst</w:t>
      </w:r>
      <w:r w:rsidR="00EC2463">
        <w:t xml:space="preserve"> ter hand zijn gesteld</w:t>
      </w:r>
      <w:r>
        <w:t>.</w:t>
      </w:r>
      <w:r w:rsidR="00EC5B75">
        <w:t xml:space="preserve"> Dit bepaalt art. III.77 WER.</w:t>
      </w:r>
      <w:r>
        <w:t xml:space="preserve"> Tijdig betekent in dit geval voor of tijdens het sluiten van de overeenkomst. Latere </w:t>
      </w:r>
      <w:r w:rsidR="00AB1935">
        <w:t>kennisgeving</w:t>
      </w:r>
      <w:r>
        <w:t xml:space="preserve"> op een </w:t>
      </w:r>
      <w:r w:rsidR="00164708">
        <w:t>(online)</w:t>
      </w:r>
      <w:r>
        <w:t>factuur volstaat dan ook niet.</w:t>
      </w:r>
      <w:r>
        <w:rPr>
          <w:rStyle w:val="Voetnootmarkering"/>
        </w:rPr>
        <w:footnoteReference w:id="139"/>
      </w:r>
      <w:r>
        <w:t xml:space="preserve"> Indien er geen </w:t>
      </w:r>
      <w:r w:rsidR="00020EA4">
        <w:t xml:space="preserve">schriftelijke </w:t>
      </w:r>
      <w:r>
        <w:t xml:space="preserve">overeenkomst is, dienen de algemene voorwaarden voor </w:t>
      </w:r>
      <w:r w:rsidR="00BE2080">
        <w:t xml:space="preserve">het uitvoeren van de economische activiteit </w:t>
      </w:r>
      <w:r w:rsidR="00B20FA6">
        <w:t>toegankelijk te worden gemaakt</w:t>
      </w:r>
      <w:r>
        <w:t xml:space="preserve">. </w:t>
      </w:r>
      <w:r w:rsidR="007678EB">
        <w:t>Natuurlijk verhindert niets partijen om later, na het tot</w:t>
      </w:r>
      <w:r w:rsidR="00583723">
        <w:t xml:space="preserve"> </w:t>
      </w:r>
      <w:r w:rsidR="007678EB">
        <w:t>stand</w:t>
      </w:r>
      <w:r w:rsidR="00583723">
        <w:t xml:space="preserve"> </w:t>
      </w:r>
      <w:r w:rsidR="007678EB">
        <w:t xml:space="preserve">komen van de overeenkomst, </w:t>
      </w:r>
      <w:r w:rsidR="006E51B2">
        <w:t xml:space="preserve">overeenstemming te bereiken over (nieuwe) algemene voorwaarden of over een wijziging van </w:t>
      </w:r>
      <w:r w:rsidR="00750998">
        <w:t>algemene</w:t>
      </w:r>
      <w:r w:rsidR="006E51B2">
        <w:t xml:space="preserve"> voorwaarden </w:t>
      </w:r>
      <w:r w:rsidR="00776DB2">
        <w:t>aanvaard voor het sluiten van de overeenkomst.</w:t>
      </w:r>
      <w:r w:rsidR="00776DB2">
        <w:rPr>
          <w:rStyle w:val="Voetnootmarkering"/>
        </w:rPr>
        <w:footnoteReference w:id="140"/>
      </w:r>
      <w:r w:rsidR="006E51B2">
        <w:t xml:space="preserve"> </w:t>
      </w:r>
    </w:p>
    <w:p w14:paraId="1FEED763" w14:textId="3EE0A944" w:rsidR="00580496" w:rsidRDefault="0036128E" w:rsidP="00196BD8">
      <w:pPr>
        <w:spacing w:line="276" w:lineRule="auto"/>
        <w:jc w:val="both"/>
      </w:pPr>
      <w:r>
        <w:lastRenderedPageBreak/>
        <w:t>Helder betekent ook dat de algemene voorwaarden</w:t>
      </w:r>
      <w:r w:rsidR="00EE7003">
        <w:t xml:space="preserve"> </w:t>
      </w:r>
      <w:r>
        <w:t>leesbaar</w:t>
      </w:r>
      <w:r w:rsidR="00EE7003">
        <w:t xml:space="preserve"> en </w:t>
      </w:r>
      <w:r>
        <w:t>begrijpelijk</w:t>
      </w:r>
      <w:r w:rsidR="00EE7003">
        <w:t xml:space="preserve"> moeten zijn</w:t>
      </w:r>
      <w:r>
        <w:t>.</w:t>
      </w:r>
      <w:r>
        <w:rPr>
          <w:rStyle w:val="Voetnootmarkering"/>
        </w:rPr>
        <w:footnoteReference w:id="141"/>
      </w:r>
      <w:r w:rsidR="00886797">
        <w:t xml:space="preserve"> De gebruiker moet de algemene voorwaarde</w:t>
      </w:r>
      <w:r w:rsidR="00381D75">
        <w:t>n</w:t>
      </w:r>
      <w:r w:rsidR="00886797">
        <w:t xml:space="preserve"> zo duidelijk mogelijk formuleren. Voor de wederpartij moet duidelijk zijn dat deze voorwaarden invloed hebben op hun (toekomstige) contractuele relatie. </w:t>
      </w:r>
      <w:r w:rsidR="007A2773">
        <w:t xml:space="preserve">De algemene voorwaarden moeten in een taal die de wederpartij begrijpt </w:t>
      </w:r>
      <w:r w:rsidR="00803F48">
        <w:t xml:space="preserve">zijn </w:t>
      </w:r>
      <w:r w:rsidR="007A2773">
        <w:t>opgesteld.</w:t>
      </w:r>
      <w:r w:rsidR="007A2773">
        <w:rPr>
          <w:rStyle w:val="Voetnootmarkering"/>
        </w:rPr>
        <w:footnoteReference w:id="142"/>
      </w:r>
    </w:p>
    <w:p w14:paraId="05AEFF2B" w14:textId="77777777" w:rsidR="00B274CB" w:rsidRPr="00E15AA5" w:rsidRDefault="00B274CB" w:rsidP="00332CA2">
      <w:pPr>
        <w:pStyle w:val="Lijstalinea"/>
        <w:numPr>
          <w:ilvl w:val="2"/>
          <w:numId w:val="3"/>
        </w:numPr>
        <w:spacing w:line="276" w:lineRule="auto"/>
        <w:jc w:val="both"/>
        <w:rPr>
          <w:b/>
          <w:bCs/>
        </w:rPr>
      </w:pPr>
      <w:r w:rsidRPr="00E15AA5">
        <w:rPr>
          <w:b/>
          <w:bCs/>
        </w:rPr>
        <w:t xml:space="preserve">Sancties bij niet nakoming </w:t>
      </w:r>
    </w:p>
    <w:p w14:paraId="3A31058F" w14:textId="7B207EB9" w:rsidR="00B274CB" w:rsidRDefault="00B274CB" w:rsidP="00196BD8">
      <w:pPr>
        <w:spacing w:line="276" w:lineRule="auto"/>
        <w:jc w:val="both"/>
      </w:pPr>
      <w:r>
        <w:t xml:space="preserve">De </w:t>
      </w:r>
      <w:r w:rsidR="00536F61">
        <w:t xml:space="preserve">Belgische </w:t>
      </w:r>
      <w:r>
        <w:t xml:space="preserve">wetgever voorziet niet in een </w:t>
      </w:r>
      <w:r w:rsidR="00565F6A">
        <w:t>in de wet geregelde</w:t>
      </w:r>
      <w:r w:rsidR="00536F61">
        <w:t xml:space="preserve"> </w:t>
      </w:r>
      <w:r>
        <w:t>burgerlijkrechtelijke sanctie op het niet nakomen van de informatieplichten</w:t>
      </w:r>
      <w:r w:rsidR="002C60D9">
        <w:t xml:space="preserve"> opgenomen in art. III.74 e.v</w:t>
      </w:r>
      <w:r>
        <w:t xml:space="preserve">. Wel </w:t>
      </w:r>
      <w:r w:rsidR="0001261C">
        <w:t>bestaan er verschillende sancties</w:t>
      </w:r>
      <w:r>
        <w:t xml:space="preserve"> op basis van het </w:t>
      </w:r>
      <w:r w:rsidR="0001261C">
        <w:t xml:space="preserve">algemene </w:t>
      </w:r>
      <w:r w:rsidR="00144151">
        <w:t>burgerlijk</w:t>
      </w:r>
      <w:r>
        <w:t xml:space="preserve"> recht</w:t>
      </w:r>
      <w:r w:rsidR="00B53ED3">
        <w:t>.</w:t>
      </w:r>
      <w:r>
        <w:rPr>
          <w:rStyle w:val="Voetnootmarkering"/>
        </w:rPr>
        <w:footnoteReference w:id="143"/>
      </w:r>
      <w:r w:rsidR="00B53ED3">
        <w:t xml:space="preserve"> Zo kan er nietigheid</w:t>
      </w:r>
      <w:r w:rsidR="00ED3521">
        <w:t xml:space="preserve"> van de algemene voorwaarden plaatsvinden op grond van dwaling of bedrog.</w:t>
      </w:r>
      <w:r w:rsidR="00FE4362">
        <w:rPr>
          <w:rStyle w:val="Voetnootmarkering"/>
        </w:rPr>
        <w:footnoteReference w:id="144"/>
      </w:r>
      <w:r w:rsidR="00AA6C6B">
        <w:t xml:space="preserve"> Daarnaast kan </w:t>
      </w:r>
      <w:r w:rsidR="008C745A">
        <w:t xml:space="preserve">alsnog nakoming van de gebruiker van de algemene voorwaarden worden afgedwongen, de </w:t>
      </w:r>
      <w:r w:rsidR="00A51040">
        <w:t>overeenkomst kan geheel of gedeeltelijk worden ontbonden</w:t>
      </w:r>
      <w:r w:rsidR="008C745A">
        <w:t xml:space="preserve"> en kan een schadevergoeding worden gevorderd</w:t>
      </w:r>
      <w:r w:rsidR="00A51040">
        <w:t xml:space="preserve"> op grond van de ‘culpa in contrahendo’.</w:t>
      </w:r>
      <w:r w:rsidR="00A419CE" w:rsidRPr="00A419CE">
        <w:rPr>
          <w:rStyle w:val="Voetnootmarkering"/>
        </w:rPr>
        <w:t xml:space="preserve"> </w:t>
      </w:r>
      <w:r w:rsidR="00A419CE">
        <w:rPr>
          <w:rStyle w:val="Voetnootmarkering"/>
        </w:rPr>
        <w:footnoteReference w:id="145"/>
      </w:r>
      <w:r w:rsidR="00A419CE">
        <w:t xml:space="preserve"> </w:t>
      </w:r>
      <w:r w:rsidR="003C2A02">
        <w:t>Dit is een Latijnse uitdrukking die ‘fout bij het contract’ betekent.</w:t>
      </w:r>
      <w:r w:rsidR="00FE4362">
        <w:t xml:space="preserve"> De rechter geeft een voorkeur aan de schadevergoeding op grond van de ‘culpa in contrahendo’.</w:t>
      </w:r>
      <w:r w:rsidR="00E54F45">
        <w:rPr>
          <w:rStyle w:val="Voetnootmarkering"/>
        </w:rPr>
        <w:footnoteReference w:id="146"/>
      </w:r>
      <w:r w:rsidR="00895848">
        <w:t xml:space="preserve">  </w:t>
      </w:r>
      <w:r>
        <w:t xml:space="preserve">Miskenning van informatieplichten </w:t>
      </w:r>
      <w:r w:rsidR="00DF5677">
        <w:t>kan</w:t>
      </w:r>
      <w:r>
        <w:t xml:space="preserve"> voorts gesanctioneerd </w:t>
      </w:r>
      <w:r w:rsidR="00094A49">
        <w:t xml:space="preserve">worden </w:t>
      </w:r>
      <w:r>
        <w:t>met een</w:t>
      </w:r>
      <w:r w:rsidR="003F05F2">
        <w:t xml:space="preserve"> strafrechtelijke sanctie ex art. </w:t>
      </w:r>
      <w:r w:rsidR="00E80383">
        <w:t xml:space="preserve">XV.7.77 lid 7 WER. Het bedraagt een geldboete van niveau 2 </w:t>
      </w:r>
      <w:r w:rsidR="00556877">
        <w:t>die</w:t>
      </w:r>
      <w:r w:rsidR="00E80383">
        <w:t xml:space="preserve"> kan oplopen tot een bedrag</w:t>
      </w:r>
      <w:r>
        <w:t xml:space="preserve"> </w:t>
      </w:r>
      <w:r w:rsidR="0004450B">
        <w:t>van €</w:t>
      </w:r>
      <w:r>
        <w:t>10.000,00.</w:t>
      </w:r>
      <w:r>
        <w:rPr>
          <w:rStyle w:val="Voetnootmarkering"/>
        </w:rPr>
        <w:footnoteReference w:id="147"/>
      </w:r>
    </w:p>
    <w:p w14:paraId="218253B0" w14:textId="2B3073FB" w:rsidR="007C6083" w:rsidRPr="00767296" w:rsidRDefault="00F679F6" w:rsidP="00332CA2">
      <w:pPr>
        <w:pStyle w:val="Lijstalinea"/>
        <w:numPr>
          <w:ilvl w:val="2"/>
          <w:numId w:val="3"/>
        </w:numPr>
        <w:spacing w:line="276" w:lineRule="auto"/>
        <w:jc w:val="both"/>
        <w:rPr>
          <w:b/>
          <w:bCs/>
        </w:rPr>
      </w:pPr>
      <w:r w:rsidRPr="00767296">
        <w:rPr>
          <w:b/>
          <w:bCs/>
        </w:rPr>
        <w:t>De opties voor</w:t>
      </w:r>
      <w:r w:rsidR="002960A0">
        <w:rPr>
          <w:b/>
          <w:bCs/>
        </w:rPr>
        <w:t xml:space="preserve"> terhandstelling bij</w:t>
      </w:r>
      <w:r w:rsidRPr="00767296">
        <w:rPr>
          <w:b/>
          <w:bCs/>
        </w:rPr>
        <w:t xml:space="preserve"> </w:t>
      </w:r>
      <w:r w:rsidR="00A610F5">
        <w:rPr>
          <w:b/>
          <w:bCs/>
        </w:rPr>
        <w:t>online algemene voorwaarden</w:t>
      </w:r>
    </w:p>
    <w:p w14:paraId="228BD73F" w14:textId="2DD65170" w:rsidR="00F679F6" w:rsidRDefault="000474C5" w:rsidP="00196BD8">
      <w:pPr>
        <w:spacing w:line="276" w:lineRule="auto"/>
        <w:jc w:val="both"/>
      </w:pPr>
      <w:r>
        <w:t xml:space="preserve">Er zijn verschillende mogelijkheden om de algemene voorwaarden ter kennis te brengen binnen het Belgische </w:t>
      </w:r>
      <w:r w:rsidR="004553A4">
        <w:t>rechtssysteem</w:t>
      </w:r>
      <w:r>
        <w:t>.</w:t>
      </w:r>
      <w:r w:rsidR="009D1A74">
        <w:t xml:space="preserve"> Ten eerste is het op basis van art. III.75 WER voldoende dat de algemene voorwaarden toegankelijk zijn gemaakt op een website</w:t>
      </w:r>
      <w:r w:rsidR="004108AB">
        <w:t>.</w:t>
      </w:r>
      <w:r w:rsidR="00BE5AF4">
        <w:t xml:space="preserve"> Dit kan naar mijn mening worden gezien als de ondergrens.</w:t>
      </w:r>
      <w:r>
        <w:t xml:space="preserve"> </w:t>
      </w:r>
      <w:r w:rsidR="00767296">
        <w:t>De (weinige) rechtspraak die hierover is</w:t>
      </w:r>
      <w:r w:rsidR="00057C62">
        <w:t>,</w:t>
      </w:r>
      <w:r w:rsidR="00767296">
        <w:t xml:space="preserve"> </w:t>
      </w:r>
      <w:r w:rsidR="00045217">
        <w:t>accepteert</w:t>
      </w:r>
      <w:r w:rsidR="00E27591">
        <w:t xml:space="preserve"> </w:t>
      </w:r>
      <w:r w:rsidR="009D1A74">
        <w:t>daarnaast</w:t>
      </w:r>
      <w:r w:rsidR="00BE5AF4">
        <w:t xml:space="preserve"> een</w:t>
      </w:r>
      <w:r w:rsidR="00045217">
        <w:t xml:space="preserve"> aantal </w:t>
      </w:r>
      <w:r w:rsidR="009D1A74">
        <w:t xml:space="preserve">andere </w:t>
      </w:r>
      <w:r w:rsidR="00045217">
        <w:t>opties</w:t>
      </w:r>
      <w:r w:rsidR="00767296">
        <w:t>. De wet</w:t>
      </w:r>
      <w:r w:rsidR="00045217">
        <w:t xml:space="preserve"> zelf</w:t>
      </w:r>
      <w:r w:rsidR="00767296">
        <w:t xml:space="preserve"> geeft hier </w:t>
      </w:r>
      <w:r w:rsidR="00045217">
        <w:t>echter</w:t>
      </w:r>
      <w:r w:rsidR="00767296">
        <w:t xml:space="preserve"> geen verdere verduidelijking over. </w:t>
      </w:r>
    </w:p>
    <w:p w14:paraId="53829FFB" w14:textId="5573C7E7" w:rsidR="009D0FFD" w:rsidRDefault="00761336" w:rsidP="00196BD8">
      <w:pPr>
        <w:spacing w:line="276" w:lineRule="auto"/>
        <w:jc w:val="both"/>
      </w:pPr>
      <w:r>
        <w:t xml:space="preserve">Een eerste optie is de welbekende hyperlink. </w:t>
      </w:r>
      <w:r w:rsidR="00552611">
        <w:t xml:space="preserve">Zolang de aanduiding van de hyperlink en de vindplaats van de hyperlink voldoende duidelijk </w:t>
      </w:r>
      <w:r w:rsidR="00664000">
        <w:t>zijn</w:t>
      </w:r>
      <w:r w:rsidR="00552611">
        <w:t>, is dit een manier die wordt geaccepteerd binnen de Belgische rechtspraak.</w:t>
      </w:r>
      <w:r w:rsidR="00552611">
        <w:rPr>
          <w:rStyle w:val="Voetnootmarkering"/>
        </w:rPr>
        <w:footnoteReference w:id="148"/>
      </w:r>
      <w:r w:rsidR="00720172">
        <w:t xml:space="preserve"> Een andere mogelijkheid bestaat </w:t>
      </w:r>
      <w:r w:rsidR="009F65DD">
        <w:t>eruit</w:t>
      </w:r>
      <w:r w:rsidR="00720172">
        <w:t xml:space="preserve"> </w:t>
      </w:r>
      <w:r w:rsidR="00147591">
        <w:t xml:space="preserve">dat er gebruikt </w:t>
      </w:r>
      <w:r w:rsidR="00B233E7">
        <w:t>wordt</w:t>
      </w:r>
      <w:r w:rsidR="00147591">
        <w:t xml:space="preserve"> gemaakt van de al eerder besproken kennisname- en aanvaardingsbedingen. </w:t>
      </w:r>
      <w:r w:rsidR="001122DF">
        <w:t>D</w:t>
      </w:r>
      <w:r w:rsidR="00720172">
        <w:t xml:space="preserve">e </w:t>
      </w:r>
      <w:r w:rsidR="006F5078">
        <w:t xml:space="preserve">algemene voorwaarden worden aanvaard door middel van het </w:t>
      </w:r>
      <w:r w:rsidR="006F5078">
        <w:lastRenderedPageBreak/>
        <w:t xml:space="preserve">aanvinken van een vakje, waarbij het aanvinken van het vakje noodzakelijk is voor het </w:t>
      </w:r>
      <w:r w:rsidR="001B46FE">
        <w:t xml:space="preserve">sluiten van de </w:t>
      </w:r>
      <w:r w:rsidR="00D9092D">
        <w:t>online</w:t>
      </w:r>
      <w:r w:rsidR="001B46FE">
        <w:t>overeenkomst</w:t>
      </w:r>
      <w:r w:rsidR="00147591">
        <w:t>.</w:t>
      </w:r>
      <w:r w:rsidR="003E57D0">
        <w:t xml:space="preserve"> </w:t>
      </w:r>
    </w:p>
    <w:p w14:paraId="624304AF" w14:textId="361CE578" w:rsidR="00894399" w:rsidRDefault="00D51486" w:rsidP="00196BD8">
      <w:pPr>
        <w:spacing w:line="276" w:lineRule="auto"/>
        <w:jc w:val="both"/>
      </w:pPr>
      <w:r>
        <w:t>Verder</w:t>
      </w:r>
      <w:r w:rsidR="009D0FFD">
        <w:t xml:space="preserve"> is er nog een derde optie die ook </w:t>
      </w:r>
      <w:r w:rsidR="00FF22DE">
        <w:t>veel</w:t>
      </w:r>
      <w:r w:rsidR="009D0FFD">
        <w:t xml:space="preserve"> garantie</w:t>
      </w:r>
      <w:r w:rsidR="000539CD">
        <w:t xml:space="preserve"> op een daadwerkelijke </w:t>
      </w:r>
      <w:r w:rsidR="001F62CC">
        <w:t>kennisname van de algemene voorwaarden</w:t>
      </w:r>
      <w:r w:rsidR="009D0FFD">
        <w:t xml:space="preserve"> lijkt te bieden. Dit is het gebruik van een pop-up. </w:t>
      </w:r>
      <w:r w:rsidR="00E40557">
        <w:t>De algemene voorwaarden verschijnen in dat geval in de loop van het bestelproces als een pop-up op het scherm</w:t>
      </w:r>
      <w:r w:rsidR="001D703F">
        <w:t>. De weergave van de algemene voorwaarden maakt hierdoor een essentieel onderdeel uit van het bestelproces.</w:t>
      </w:r>
      <w:r w:rsidR="00B965E6">
        <w:t xml:space="preserve"> In de praktijk gebeurt het vaak dat deze pop-up enkel verdwijnt na het aanvinken van het vakje “akkoord met de algemene voorwaarden” wat vaak onderaan de pop-up te vinden is.</w:t>
      </w:r>
      <w:r w:rsidR="00B965E6">
        <w:rPr>
          <w:rStyle w:val="Voetnootmarkering"/>
        </w:rPr>
        <w:footnoteReference w:id="149"/>
      </w:r>
      <w:r w:rsidR="00383201">
        <w:t xml:space="preserve"> Voor de gebruiker van de algemene voorwaarden is op deze manier eenvoudig aan te tonen dat </w:t>
      </w:r>
      <w:r w:rsidR="00875114">
        <w:t>de wederpartij de redelijke mogelijkheid heeft gehad om kennis te nemen van de algemene voorwaarden.</w:t>
      </w:r>
      <w:r w:rsidR="00875114">
        <w:rPr>
          <w:rStyle w:val="Voetnootmarkering"/>
        </w:rPr>
        <w:footnoteReference w:id="150"/>
      </w:r>
      <w:r w:rsidR="00875114">
        <w:t xml:space="preserve"> Of de wederpartij ervoor kiest om de algemene voorwaarden daadwerkelijk te lezen is voor eigen risico.</w:t>
      </w:r>
      <w:r w:rsidR="00875114">
        <w:rPr>
          <w:rStyle w:val="Voetnootmarkering"/>
        </w:rPr>
        <w:footnoteReference w:id="151"/>
      </w:r>
    </w:p>
    <w:p w14:paraId="299A411D" w14:textId="1B1F36A4" w:rsidR="00180EC3" w:rsidRDefault="00180EC3" w:rsidP="00332CA2">
      <w:pPr>
        <w:pStyle w:val="Kop2"/>
        <w:numPr>
          <w:ilvl w:val="1"/>
          <w:numId w:val="3"/>
        </w:numPr>
        <w:spacing w:line="276" w:lineRule="auto"/>
        <w:jc w:val="both"/>
      </w:pPr>
      <w:bookmarkStart w:id="48" w:name="_Toc182382078"/>
      <w:bookmarkStart w:id="49" w:name="_Toc186375523"/>
      <w:r>
        <w:t xml:space="preserve">Verschillen </w:t>
      </w:r>
      <w:r w:rsidR="00B36CBD">
        <w:t xml:space="preserve">en overeenkomsten </w:t>
      </w:r>
      <w:r w:rsidR="00FA7C82">
        <w:t>tussen</w:t>
      </w:r>
      <w:r>
        <w:t xml:space="preserve"> Nederland </w:t>
      </w:r>
      <w:r w:rsidR="00FA7C82">
        <w:t>en België</w:t>
      </w:r>
      <w:bookmarkEnd w:id="48"/>
      <w:bookmarkEnd w:id="49"/>
    </w:p>
    <w:p w14:paraId="6787879E" w14:textId="3E8D6B7B" w:rsidR="007A73A6" w:rsidRPr="007A73A6" w:rsidRDefault="007A73A6" w:rsidP="007A73A6">
      <w:r>
        <w:t xml:space="preserve">Zoals hierboven beschreven kent het Nederlandse en Belgische systeem een hoop overeenkomsten, maar ook zeker een aantal verschillen. In deze paragraaf zullen deze uiteen worden gezet. </w:t>
      </w:r>
    </w:p>
    <w:p w14:paraId="2F140ADD" w14:textId="5EE2A5B4" w:rsidR="00986C98" w:rsidRDefault="00D50883" w:rsidP="00332CA2">
      <w:pPr>
        <w:pStyle w:val="Lijstalinea"/>
        <w:numPr>
          <w:ilvl w:val="2"/>
          <w:numId w:val="3"/>
        </w:numPr>
        <w:spacing w:line="276" w:lineRule="auto"/>
        <w:jc w:val="both"/>
        <w:rPr>
          <w:b/>
          <w:bCs/>
        </w:rPr>
      </w:pPr>
      <w:r w:rsidRPr="00D50883">
        <w:rPr>
          <w:b/>
          <w:bCs/>
        </w:rPr>
        <w:t xml:space="preserve">Overeenkomsten </w:t>
      </w:r>
      <w:r>
        <w:rPr>
          <w:b/>
          <w:bCs/>
        </w:rPr>
        <w:t>tussen Nederland en Belgi</w:t>
      </w:r>
      <w:r w:rsidR="00986C98">
        <w:rPr>
          <w:b/>
          <w:bCs/>
        </w:rPr>
        <w:t>ë</w:t>
      </w:r>
    </w:p>
    <w:p w14:paraId="4EF25C8B" w14:textId="496B1A53" w:rsidR="007A73A6" w:rsidRDefault="007A73A6" w:rsidP="00196BD8">
      <w:pPr>
        <w:spacing w:line="276" w:lineRule="auto"/>
        <w:jc w:val="both"/>
      </w:pPr>
      <w:r>
        <w:t>De meeste overeenkomsten tussen de rechtssystemen zijn mijns inziens te vinden in de regelgeving voor dienstverrichters. De regelingen voor dienstverrichters zijn in Nederland en België namelijk vrijwel identiek</w:t>
      </w:r>
      <w:r w:rsidR="00571F63">
        <w:t xml:space="preserve">. Het gaat in beide gevallen om een directe implementatie van de </w:t>
      </w:r>
      <w:r w:rsidR="004F2E0E">
        <w:t>D</w:t>
      </w:r>
      <w:r w:rsidR="00571F63">
        <w:t>ienstenrichtlijn</w:t>
      </w:r>
      <w:r w:rsidR="006023FF">
        <w:t xml:space="preserve"> door middel van een aparte regeling voor </w:t>
      </w:r>
      <w:r w:rsidR="002130C5">
        <w:t>dienstverrichters</w:t>
      </w:r>
      <w:r w:rsidR="00571F63">
        <w:t xml:space="preserve">. Voor onlineovereenkomsten zal voornamelijk gebruik worden gemaakt van een verwijzing naar </w:t>
      </w:r>
      <w:r w:rsidR="00364CF6">
        <w:t>een website waar de algemene voorwaarden gemakkelijk toegankelijk zijn. Dit is uitgewerkt in art. 6:230c BW</w:t>
      </w:r>
      <w:r w:rsidR="00A06350">
        <w:t xml:space="preserve"> (Nederland) en art. III.75 WER (België).</w:t>
      </w:r>
      <w:r w:rsidR="00546D76">
        <w:t xml:space="preserve"> Voor een gebruiker van de</w:t>
      </w:r>
      <w:r w:rsidR="002130C5">
        <w:t xml:space="preserve"> online</w:t>
      </w:r>
      <w:r w:rsidR="00546D76">
        <w:t xml:space="preserve"> algemene voorwaarden is dit simpelweg de meest gemakkelijke manier.</w:t>
      </w:r>
    </w:p>
    <w:p w14:paraId="13BA73A8" w14:textId="7743270E" w:rsidR="00EB1D74" w:rsidRDefault="007A73A6" w:rsidP="00196BD8">
      <w:pPr>
        <w:spacing w:line="276" w:lineRule="auto"/>
        <w:jc w:val="both"/>
      </w:pPr>
      <w:r>
        <w:t>Verder zijn de wijzen van verstrekken van de algemene voorwaarden, wat geldt voor alle gebruikers, ook redelijk hetzelfde als in Nederland.</w:t>
      </w:r>
      <w:r w:rsidR="00546D76">
        <w:t xml:space="preserve"> </w:t>
      </w:r>
      <w:r w:rsidR="006C66AD">
        <w:t xml:space="preserve">In </w:t>
      </w:r>
      <w:r w:rsidR="00DB2C71">
        <w:t>b</w:t>
      </w:r>
      <w:r w:rsidR="006C66AD">
        <w:t xml:space="preserve">eide gevallen is de </w:t>
      </w:r>
      <w:r w:rsidR="00110882">
        <w:t>h</w:t>
      </w:r>
      <w:r w:rsidR="006C66AD">
        <w:t>yperlink</w:t>
      </w:r>
      <w:r>
        <w:t xml:space="preserve"> en het toezenden via email </w:t>
      </w:r>
      <w:r w:rsidR="006C66AD">
        <w:t>geaccepteerd in de rechtspraak</w:t>
      </w:r>
      <w:r w:rsidR="005E522C">
        <w:t xml:space="preserve"> en in de praktijk wordt er zowel in Nederland als in België veel gebruik gemaakt van de optie van kennisname- en aanvaardingsbedingen. De optie van de pop-up wordt mijns inziens niet zo vaak gebruikt in Nederland, maar in België wel, zo volgt uit de literatuur. Het lijkt mij echter </w:t>
      </w:r>
      <w:r w:rsidR="00F43AE5">
        <w:t xml:space="preserve">vanzelfsprekend dat dit ook een wijze is die geaccepteerd zal worden in Nederland. De </w:t>
      </w:r>
      <w:r w:rsidR="00F43AE5">
        <w:lastRenderedPageBreak/>
        <w:t xml:space="preserve">kans dat de wederpartij de algemene voorwaarden daadwerkelijk leest is immers groter dan het geval is bij de </w:t>
      </w:r>
      <w:r w:rsidR="00D644BD">
        <w:t xml:space="preserve">hyperlink of de kennisname- en aanvaardingsbedingen. </w:t>
      </w:r>
      <w:r w:rsidR="00206029">
        <w:t xml:space="preserve"> </w:t>
      </w:r>
    </w:p>
    <w:p w14:paraId="5DD79CA0" w14:textId="377E022A" w:rsidR="00A2387A" w:rsidRDefault="007A73A6" w:rsidP="00196BD8">
      <w:pPr>
        <w:spacing w:line="276" w:lineRule="auto"/>
        <w:jc w:val="both"/>
      </w:pPr>
      <w:r>
        <w:t>Daarnaast</w:t>
      </w:r>
      <w:r w:rsidR="00206029">
        <w:t xml:space="preserve"> is in zowel het </w:t>
      </w:r>
      <w:r w:rsidR="002409E4">
        <w:t>Nederlandse recht als</w:t>
      </w:r>
      <w:r w:rsidR="00F82690">
        <w:t xml:space="preserve"> </w:t>
      </w:r>
      <w:r w:rsidR="002409E4">
        <w:t xml:space="preserve">in het Belgische recht vereist dat de </w:t>
      </w:r>
      <w:r w:rsidR="00332CA2">
        <w:t>algemene voorwaarden</w:t>
      </w:r>
      <w:r w:rsidR="002409E4">
        <w:t xml:space="preserve"> </w:t>
      </w:r>
      <w:r w:rsidR="00080819">
        <w:t>h</w:t>
      </w:r>
      <w:r w:rsidR="0061481C">
        <w:t>elder</w:t>
      </w:r>
      <w:r w:rsidR="002409E4">
        <w:t xml:space="preserve"> en </w:t>
      </w:r>
      <w:r w:rsidR="0061481C">
        <w:t>ondubbelzinnig</w:t>
      </w:r>
      <w:r w:rsidR="002409E4">
        <w:t xml:space="preserve"> zijn</w:t>
      </w:r>
      <w:r w:rsidR="00332CA2">
        <w:t xml:space="preserve"> en tijdig worden overhandigd</w:t>
      </w:r>
      <w:r w:rsidR="002409E4">
        <w:t xml:space="preserve">. In </w:t>
      </w:r>
      <w:r w:rsidR="0061481C">
        <w:t>Nederland is dit geregeld in art. 6:230</w:t>
      </w:r>
      <w:r w:rsidR="0061481C" w:rsidRPr="00CE2840">
        <w:t xml:space="preserve">e </w:t>
      </w:r>
      <w:r w:rsidR="0061481C">
        <w:t xml:space="preserve">BW en in België in </w:t>
      </w:r>
      <w:r w:rsidR="00A51443">
        <w:t xml:space="preserve">art. III.77 WER. </w:t>
      </w:r>
      <w:r w:rsidR="002130C5">
        <w:t xml:space="preserve">In de rechtspraak in België </w:t>
      </w:r>
      <w:r w:rsidR="00A51443">
        <w:t xml:space="preserve">wordt dit voor </w:t>
      </w:r>
      <w:r w:rsidR="00A51443" w:rsidRPr="00AE13D4">
        <w:t>alle</w:t>
      </w:r>
      <w:r w:rsidR="00A51443">
        <w:t xml:space="preserve"> gebruikers ook uitgewerkt</w:t>
      </w:r>
      <w:r w:rsidR="00D522E5">
        <w:t xml:space="preserve"> door middel van de vereisten van zichtbaarheid, begrijpelijkheid en tijdigheid. </w:t>
      </w:r>
      <w:r w:rsidR="00B60912">
        <w:t>In de Nederlandse wet wordt dit uitgewerkt in art. 6:234 lid 2 BW door</w:t>
      </w:r>
      <w:r w:rsidR="00823CF6">
        <w:t xml:space="preserve"> </w:t>
      </w:r>
      <w:r w:rsidR="00B60912">
        <w:t>middel van het toegankelijkheidsvereiste.</w:t>
      </w:r>
      <w:r w:rsidR="002130C5">
        <w:t xml:space="preserve"> Mijns inziens zit er geen significant verschil tussen deze regelingen.</w:t>
      </w:r>
      <w:r w:rsidR="00B60912">
        <w:t xml:space="preserve"> </w:t>
      </w:r>
    </w:p>
    <w:p w14:paraId="393BC948" w14:textId="2D4CC549" w:rsidR="00986C98" w:rsidRDefault="00986C98" w:rsidP="00332CA2">
      <w:pPr>
        <w:pStyle w:val="Lijstalinea"/>
        <w:numPr>
          <w:ilvl w:val="2"/>
          <w:numId w:val="3"/>
        </w:numPr>
        <w:spacing w:line="276" w:lineRule="auto"/>
        <w:jc w:val="both"/>
        <w:rPr>
          <w:b/>
          <w:bCs/>
        </w:rPr>
      </w:pPr>
      <w:r w:rsidRPr="00986C98">
        <w:rPr>
          <w:b/>
          <w:bCs/>
        </w:rPr>
        <w:t>Verschillen tussen Nederland en België</w:t>
      </w:r>
    </w:p>
    <w:p w14:paraId="6B082CED" w14:textId="3D73DED5" w:rsidR="006D38A6" w:rsidRDefault="00CC1A94" w:rsidP="00196BD8">
      <w:pPr>
        <w:spacing w:line="276" w:lineRule="auto"/>
        <w:jc w:val="both"/>
      </w:pPr>
      <w:r>
        <w:t>Nederland kent</w:t>
      </w:r>
      <w:r w:rsidR="007A73A6">
        <w:t>, in tegenstelling tot België,</w:t>
      </w:r>
      <w:r>
        <w:t xml:space="preserve"> een aparte regeling voor niet-dienstv</w:t>
      </w:r>
      <w:r w:rsidR="002130C5">
        <w:t>errichters</w:t>
      </w:r>
      <w:r>
        <w:t xml:space="preserve"> in art. 6:234 </w:t>
      </w:r>
      <w:r w:rsidR="002130C5">
        <w:t xml:space="preserve">lid 2 </w:t>
      </w:r>
      <w:r>
        <w:t xml:space="preserve">BW. </w:t>
      </w:r>
      <w:r w:rsidR="00956EBD">
        <w:t xml:space="preserve">Dit </w:t>
      </w:r>
      <w:r w:rsidR="007A73A6">
        <w:t xml:space="preserve">artikel </w:t>
      </w:r>
      <w:r w:rsidR="00956EBD">
        <w:t xml:space="preserve">vereist dat de </w:t>
      </w:r>
      <w:r w:rsidR="002130C5">
        <w:t>online algemene voorwaarden</w:t>
      </w:r>
      <w:r w:rsidR="00956EBD">
        <w:t xml:space="preserve"> moeten</w:t>
      </w:r>
      <w:r w:rsidR="002130C5">
        <w:t xml:space="preserve"> worden verstrekt</w:t>
      </w:r>
      <w:r w:rsidR="00472F3F">
        <w:t xml:space="preserve"> aan de wederpartij</w:t>
      </w:r>
      <w:r w:rsidR="002130C5">
        <w:t xml:space="preserve"> en </w:t>
      </w:r>
      <w:r w:rsidR="00956EBD">
        <w:t>opgeslagen</w:t>
      </w:r>
      <w:r w:rsidR="00472F3F">
        <w:t xml:space="preserve"> moeten </w:t>
      </w:r>
      <w:r w:rsidR="002130C5">
        <w:t>kunnen worden</w:t>
      </w:r>
      <w:r w:rsidR="00956EBD">
        <w:t xml:space="preserve"> </w:t>
      </w:r>
      <w:r w:rsidR="005335CD">
        <w:t xml:space="preserve">ten behoeve van latere kennisname. Dit is slechts anders indien dit redelijkerwijs niet mogelijk is. In dat geval is het toegestaan dat de </w:t>
      </w:r>
      <w:r w:rsidR="007B58FB">
        <w:t xml:space="preserve">gebruiker van de algemene voorwaarden </w:t>
      </w:r>
      <w:r w:rsidR="00073BDA">
        <w:t xml:space="preserve">aan de wederpartij bekend maakt waar de algemene voorwaarden </w:t>
      </w:r>
      <w:r w:rsidR="007B5344">
        <w:t xml:space="preserve">langs elektronische weg </w:t>
      </w:r>
      <w:r w:rsidR="002D392E">
        <w:t>kunnen</w:t>
      </w:r>
      <w:r w:rsidR="007B5344">
        <w:t xml:space="preserve"> worden gevonden. </w:t>
      </w:r>
    </w:p>
    <w:p w14:paraId="78DAA442" w14:textId="137B433A" w:rsidR="001960D1" w:rsidRDefault="005D55BB" w:rsidP="00196BD8">
      <w:pPr>
        <w:spacing w:line="276" w:lineRule="auto"/>
        <w:jc w:val="both"/>
      </w:pPr>
      <w:r>
        <w:t>Opvallend is dat België niet zo’n regeling met</w:t>
      </w:r>
      <w:r w:rsidR="00472F3F">
        <w:t xml:space="preserve"> specifieke</w:t>
      </w:r>
      <w:r>
        <w:t xml:space="preserve"> vormvereisten </w:t>
      </w:r>
      <w:r w:rsidR="00413F31">
        <w:t>kent</w:t>
      </w:r>
      <w:r>
        <w:t xml:space="preserve">. In </w:t>
      </w:r>
      <w:r w:rsidR="00817AF1">
        <w:t>België</w:t>
      </w:r>
      <w:r>
        <w:t xml:space="preserve"> is de standaard regeling </w:t>
      </w:r>
      <w:r w:rsidR="007A73A6">
        <w:t>te vinden</w:t>
      </w:r>
      <w:r w:rsidR="00FE22DD">
        <w:t xml:space="preserve"> in art. 5.23 BW België. Dit is de regel die al vaker aan bod is gekomen; de wederpartij moet </w:t>
      </w:r>
      <w:r w:rsidR="00427E30">
        <w:t xml:space="preserve">kennis hebben kunnen nemen van de algemene voorwaarden of </w:t>
      </w:r>
      <w:r w:rsidR="007A73A6">
        <w:t xml:space="preserve">moet </w:t>
      </w:r>
      <w:r w:rsidR="00427E30">
        <w:t xml:space="preserve">een redelijke mogelijkheid tot kennisname hebben gehad. </w:t>
      </w:r>
      <w:r w:rsidR="001628B4">
        <w:t xml:space="preserve">Deze regeling geldt voor alle gebruikers van de algemene voorwaarden, dus inclusief de </w:t>
      </w:r>
      <w:r w:rsidR="002130C5">
        <w:t>dienstverrichters</w:t>
      </w:r>
      <w:r w:rsidR="001628B4">
        <w:t xml:space="preserve"> die ook een aparte regeling hebben. </w:t>
      </w:r>
      <w:r w:rsidR="001960D1">
        <w:t xml:space="preserve">De vorm waarop de algemene voorwaarden ter hand worden gesteld </w:t>
      </w:r>
      <w:r w:rsidR="007A73A6">
        <w:t>is in beginsel</w:t>
      </w:r>
      <w:r w:rsidR="001960D1">
        <w:t xml:space="preserve"> redelijk vrij.</w:t>
      </w:r>
      <w:r w:rsidR="007A73A6">
        <w:t xml:space="preserve"> </w:t>
      </w:r>
      <w:r w:rsidR="001960D1">
        <w:t xml:space="preserve">Voor dienstverrichters gelden </w:t>
      </w:r>
      <w:r w:rsidR="007A73A6">
        <w:t xml:space="preserve">wel </w:t>
      </w:r>
      <w:r w:rsidR="001960D1">
        <w:t>de vormvereisten van art. III.75 WER. De algemene voorwaarden moeten</w:t>
      </w:r>
      <w:r w:rsidR="007A73A6">
        <w:t xml:space="preserve"> voor dienstverrichters</w:t>
      </w:r>
      <w:r w:rsidR="001960D1">
        <w:t xml:space="preserve"> toegankelijk worden gemaakt op een wijze genoemd in dat artikel. </w:t>
      </w:r>
      <w:r w:rsidR="007A73A6">
        <w:t>Voor niet-dienstverrichter is er geen vast voorgeschreven wijze voor terhandstelling</w:t>
      </w:r>
      <w:r w:rsidR="00D27F5B">
        <w:t>, doch mi</w:t>
      </w:r>
      <w:r w:rsidR="001960D1">
        <w:t>jns inziens is er</w:t>
      </w:r>
      <w:r w:rsidR="007A73A6">
        <w:t xml:space="preserve"> </w:t>
      </w:r>
      <w:r w:rsidR="001960D1">
        <w:t>geen reden waarom niet-</w:t>
      </w:r>
      <w:r w:rsidR="00E861D2">
        <w:t>dienstverrichters</w:t>
      </w:r>
      <w:r w:rsidR="001960D1">
        <w:t xml:space="preserve"> in België de algemene voorwaarden niet ook op een van </w:t>
      </w:r>
      <w:r w:rsidR="007A73A6">
        <w:t>de</w:t>
      </w:r>
      <w:r w:rsidR="001960D1">
        <w:t xml:space="preserve"> wijzen genoemd in art. III.75 WER </w:t>
      </w:r>
      <w:r w:rsidR="00413F31">
        <w:t>toegankelijk kunnen maken</w:t>
      </w:r>
      <w:r w:rsidR="001960D1">
        <w:t xml:space="preserve">. </w:t>
      </w:r>
      <w:r w:rsidR="00413F31">
        <w:t xml:space="preserve">Door de wijzen genoemd in art. III.75 op te nemen in de wet is dit een indicatie dat </w:t>
      </w:r>
      <w:r w:rsidR="00E861D2">
        <w:t>die opties</w:t>
      </w:r>
      <w:r w:rsidR="00413F31">
        <w:t xml:space="preserve"> een redelijke mogelijkheid tot kennisname </w:t>
      </w:r>
      <w:r w:rsidR="00E861D2">
        <w:t>geven</w:t>
      </w:r>
      <w:r w:rsidR="007A73A6">
        <w:t>, wat ervoor zorgt dat de algemene voorwaarden op een juiste manier ter hand zijn gesteld.</w:t>
      </w:r>
      <w:r w:rsidR="00413F31">
        <w:t xml:space="preserve"> </w:t>
      </w:r>
      <w:r w:rsidR="007A73A6">
        <w:t xml:space="preserve">In mijn optiek kan er dan ook gezegd worden dat er geen (significant) onderscheid is tussen dienstverrichters en niet-dienstverrichters in België. </w:t>
      </w:r>
    </w:p>
    <w:p w14:paraId="43B9A444" w14:textId="54DC18BA" w:rsidR="00136A62" w:rsidRDefault="00EB1FA0" w:rsidP="00196BD8">
      <w:pPr>
        <w:spacing w:line="276" w:lineRule="auto"/>
        <w:jc w:val="both"/>
      </w:pPr>
      <w:r>
        <w:t xml:space="preserve">Hier zit een groot verschil in vergeleken met </w:t>
      </w:r>
      <w:r w:rsidR="00E861D2">
        <w:t>het Nederlandse recht</w:t>
      </w:r>
      <w:r>
        <w:t xml:space="preserve"> waar</w:t>
      </w:r>
      <w:r w:rsidR="007A73A6">
        <w:t xml:space="preserve"> er wel een onderscheid is. A</w:t>
      </w:r>
      <w:r>
        <w:t>rt. 6:234 BW geldt</w:t>
      </w:r>
      <w:r w:rsidR="007A73A6">
        <w:t xml:space="preserve"> alleen</w:t>
      </w:r>
      <w:r>
        <w:t xml:space="preserve"> voor niet-</w:t>
      </w:r>
      <w:r w:rsidR="00472F3F">
        <w:t>dienstverrichters</w:t>
      </w:r>
      <w:r w:rsidR="007A73A6">
        <w:t xml:space="preserve"> en art. 6:230c BW alleen voor dienstverrichters</w:t>
      </w:r>
      <w:r>
        <w:t>.</w:t>
      </w:r>
      <w:r w:rsidR="007A73A6">
        <w:t xml:space="preserve">  In België is het voor alle gebruikers voldoende dat de algemene voorwaarden toegankelijk worden gemaakt, terwijl niet-dienstverrichters in Nederland de voorwaarden moeten verstrekken. </w:t>
      </w:r>
      <w:r w:rsidR="00136A62">
        <w:t xml:space="preserve">Hieruit volgt dat de regeling voor </w:t>
      </w:r>
      <w:r w:rsidR="00B20F76">
        <w:lastRenderedPageBreak/>
        <w:t>dienstverrichters</w:t>
      </w:r>
      <w:r w:rsidR="007A73A6">
        <w:t xml:space="preserve"> </w:t>
      </w:r>
      <w:r w:rsidR="00136A62">
        <w:t>in art. 6:230c BW</w:t>
      </w:r>
      <w:r w:rsidR="007A73A6">
        <w:t xml:space="preserve">, dat het toegankelijk maken van algemene voorwaarden als minimumvereiste heeft voor dienstverrichters, </w:t>
      </w:r>
      <w:r w:rsidR="00136A62">
        <w:t xml:space="preserve">werkt als een </w:t>
      </w:r>
      <w:r w:rsidR="00B20F76">
        <w:t xml:space="preserve">onterechte </w:t>
      </w:r>
      <w:r w:rsidR="00136A62">
        <w:t>versoepeling ten opzichte van de regeling van art. 6:234 BW voor niet-</w:t>
      </w:r>
      <w:r w:rsidR="00B20F76">
        <w:t>dienstverrichters</w:t>
      </w:r>
      <w:r w:rsidR="00136A62">
        <w:t xml:space="preserve">. </w:t>
      </w:r>
      <w:r w:rsidR="007A73A6">
        <w:t>In Nederland heeft dit</w:t>
      </w:r>
      <w:r w:rsidR="006F5A61">
        <w:t xml:space="preserve"> ook geleid tot de nodige rechtspraak</w:t>
      </w:r>
      <w:r w:rsidR="009A1DAD">
        <w:t>, zoals besproken in paragraaf 3.2</w:t>
      </w:r>
      <w:r w:rsidR="006F5A61">
        <w:t>.</w:t>
      </w:r>
      <w:r w:rsidR="00055E2A">
        <w:rPr>
          <w:rStyle w:val="Voetnootmarkering"/>
        </w:rPr>
        <w:footnoteReference w:id="152"/>
      </w:r>
      <w:r w:rsidR="006F5A61">
        <w:t xml:space="preserve"> </w:t>
      </w:r>
      <w:r w:rsidR="009A1DAD">
        <w:t xml:space="preserve">In België is </w:t>
      </w:r>
      <w:r w:rsidR="00E861D2">
        <w:t>deze rechtspraak</w:t>
      </w:r>
      <w:r w:rsidR="009A1DAD">
        <w:t xml:space="preserve"> </w:t>
      </w:r>
      <w:r w:rsidR="00FA1C5F">
        <w:t>daarentegen</w:t>
      </w:r>
      <w:r w:rsidR="009A1DAD">
        <w:t xml:space="preserve"> niet te vinden</w:t>
      </w:r>
      <w:r w:rsidR="00270A27">
        <w:t>. D</w:t>
      </w:r>
      <w:r w:rsidR="006F5A61">
        <w:t xml:space="preserve">it heeft als reden dat </w:t>
      </w:r>
      <w:r w:rsidR="00270A27">
        <w:t xml:space="preserve">dit </w:t>
      </w:r>
      <w:r w:rsidR="006F5A61">
        <w:t xml:space="preserve">in België simpelweg </w:t>
      </w:r>
      <w:r w:rsidR="005C3DBC">
        <w:t>niet tot conflicten heeft geleid</w:t>
      </w:r>
      <w:r w:rsidR="005F50A9">
        <w:t>, aangezien de regelingen in België niet maar van toepassing zijn voor één gesloten groep gebruikers, maar</w:t>
      </w:r>
      <w:r w:rsidR="00B20F76">
        <w:t>, nogmaals,</w:t>
      </w:r>
      <w:r w:rsidR="005F50A9">
        <w:t xml:space="preserve"> voor alle gebruikers. </w:t>
      </w:r>
    </w:p>
    <w:p w14:paraId="0A5BD4F8" w14:textId="341EF3B5" w:rsidR="00D235D6" w:rsidRDefault="007A73A6" w:rsidP="00196BD8">
      <w:pPr>
        <w:spacing w:line="276" w:lineRule="auto"/>
        <w:jc w:val="both"/>
      </w:pPr>
      <w:r>
        <w:t>Verder kent de Nederlandse regeling, zoals eerder genoemd, een opslagvereiste in</w:t>
      </w:r>
      <w:r w:rsidR="00D235D6">
        <w:t xml:space="preserve"> artikel 6:234 lid 2 BW.</w:t>
      </w:r>
      <w:r>
        <w:t xml:space="preserve"> Dit geldt slechts voor niet-dienstverrichters.</w:t>
      </w:r>
      <w:r w:rsidR="00D235D6">
        <w:t xml:space="preserve"> De online algemene voorwaarden moeten kunnen worden opgeslagen voor latere raadpleging. België kent dit </w:t>
      </w:r>
      <w:r>
        <w:t xml:space="preserve">vereiste </w:t>
      </w:r>
      <w:r w:rsidR="00D235D6">
        <w:t xml:space="preserve">niet. De algemene voorwaarden toegankelijk maken is in het Belgische recht voldoende. </w:t>
      </w:r>
      <w:r w:rsidR="004E6B3C">
        <w:t xml:space="preserve">Wel verdient hierbij nog opmerking dat onder omstandigheden buitensporige bedingen in de algemene voorwaarden extra onder de aandacht moeten worden gebracht. Daarnaast kent België tot op zekere hoogte een eigen verantwoordelijkheid van de wederpartij om de algemene voorwaarden te verkrijgen. Nederland kent dit niet in deze mate. </w:t>
      </w:r>
    </w:p>
    <w:p w14:paraId="0E51008E" w14:textId="7CD9CB73" w:rsidR="00D123A3" w:rsidRDefault="00BB4F65" w:rsidP="00196BD8">
      <w:pPr>
        <w:spacing w:line="276" w:lineRule="auto"/>
        <w:jc w:val="both"/>
      </w:pPr>
      <w:r>
        <w:t xml:space="preserve">Tot slot is er nog het verschil tussen de sancties in het Nederlandse recht en het </w:t>
      </w:r>
      <w:r w:rsidR="00571344">
        <w:t>Belgische</w:t>
      </w:r>
      <w:r>
        <w:t xml:space="preserve"> recht. In Nederland </w:t>
      </w:r>
      <w:r w:rsidR="003225C3">
        <w:t>wordt</w:t>
      </w:r>
      <w:r w:rsidR="000720EA">
        <w:t xml:space="preserve"> </w:t>
      </w:r>
      <w:r w:rsidR="003225C3">
        <w:t xml:space="preserve">de niet-nakoming van </w:t>
      </w:r>
      <w:r w:rsidR="000720EA">
        <w:t xml:space="preserve">de juiste wijze van terhandstelling van algemene voorwaarden voor niet-dienstverleners gesanctioneerd met </w:t>
      </w:r>
      <w:r w:rsidR="00896175">
        <w:t>vernietiging</w:t>
      </w:r>
      <w:r w:rsidR="009F66FE">
        <w:t xml:space="preserve"> van de algemene voorwaarden</w:t>
      </w:r>
      <w:r w:rsidR="00896175">
        <w:t xml:space="preserve"> ex art. 6:233</w:t>
      </w:r>
      <w:r w:rsidR="00033C4A">
        <w:t xml:space="preserve"> jo. 6:234 BW. </w:t>
      </w:r>
      <w:r w:rsidR="00EE23D7">
        <w:t>Voor</w:t>
      </w:r>
      <w:r w:rsidR="00033C4A">
        <w:t xml:space="preserve"> </w:t>
      </w:r>
      <w:r w:rsidR="007A73A6">
        <w:t>dienstverrichters</w:t>
      </w:r>
      <w:r w:rsidR="00033C4A">
        <w:t xml:space="preserve"> is onduidelijk wat de sanctie precies inhoudt in het Nederlandse recht. Zie hierover meer in hoofdstuk </w:t>
      </w:r>
      <w:r w:rsidR="00B20F76">
        <w:t>5</w:t>
      </w:r>
      <w:r w:rsidR="00033C4A">
        <w:t>.  In het Belgische recht bestaat er überhaupt geen</w:t>
      </w:r>
      <w:r w:rsidR="007D3A4E">
        <w:t xml:space="preserve"> wettelijk geregelde</w:t>
      </w:r>
      <w:r w:rsidR="00033C4A">
        <w:t xml:space="preserve"> </w:t>
      </w:r>
      <w:r w:rsidR="00055174">
        <w:t xml:space="preserve">sanctie </w:t>
      </w:r>
      <w:r w:rsidR="00E60E93">
        <w:t xml:space="preserve">die </w:t>
      </w:r>
      <w:r w:rsidR="00B75093">
        <w:t>specifiek</w:t>
      </w:r>
      <w:r w:rsidR="00E60E93">
        <w:t xml:space="preserve"> ziet</w:t>
      </w:r>
      <w:r w:rsidR="00B75093">
        <w:t xml:space="preserve"> o</w:t>
      </w:r>
      <w:r w:rsidR="00055174">
        <w:t>p niet-nakoming van de terhandstellingsplichten</w:t>
      </w:r>
      <w:r w:rsidR="00E60E93">
        <w:t xml:space="preserve"> van algemene voorwaarden</w:t>
      </w:r>
      <w:r w:rsidR="00055174">
        <w:t xml:space="preserve">. </w:t>
      </w:r>
      <w:r w:rsidR="0026606B">
        <w:t>Het kan slechts gesanctioneerd worden met andere in het burgerlijk recht geregelde sancties, zoals ontbinding op basis van dwaling of een het geven van een schadevergoeding.</w:t>
      </w:r>
      <w:r w:rsidR="009B7385">
        <w:t xml:space="preserve"> Zie </w:t>
      </w:r>
      <w:r w:rsidR="00AC2184">
        <w:t>voor een uitgebreidere bespreking</w:t>
      </w:r>
      <w:r w:rsidR="009B7385">
        <w:t xml:space="preserve"> de uitwerking onder </w:t>
      </w:r>
      <w:r w:rsidR="00E861D2">
        <w:t>paragraaf</w:t>
      </w:r>
      <w:r w:rsidR="009B7385">
        <w:t xml:space="preserve"> </w:t>
      </w:r>
      <w:r w:rsidR="00527209">
        <w:t>5</w:t>
      </w:r>
      <w:r w:rsidR="009B7385">
        <w:t>.2.</w:t>
      </w:r>
      <w:r w:rsidR="00527209">
        <w:t>3</w:t>
      </w:r>
      <w:r w:rsidR="009B7385">
        <w:t xml:space="preserve">. </w:t>
      </w:r>
    </w:p>
    <w:p w14:paraId="071E7BF4" w14:textId="5A829E27" w:rsidR="001122DF" w:rsidRDefault="00DE1375" w:rsidP="00196BD8">
      <w:pPr>
        <w:spacing w:line="276" w:lineRule="auto"/>
        <w:jc w:val="both"/>
      </w:pPr>
      <w:r>
        <w:t xml:space="preserve">Tabel 1 geeft een kort schematisch overzicht van de verschillen tussen de Nederlandse regelingen en de Belgische regeling. </w:t>
      </w:r>
    </w:p>
    <w:tbl>
      <w:tblPr>
        <w:tblStyle w:val="Tabelraster"/>
        <w:tblW w:w="0" w:type="auto"/>
        <w:tblLook w:val="04A0" w:firstRow="1" w:lastRow="0" w:firstColumn="1" w:lastColumn="0" w:noHBand="0" w:noVBand="1"/>
      </w:tblPr>
      <w:tblGrid>
        <w:gridCol w:w="3020"/>
        <w:gridCol w:w="3021"/>
        <w:gridCol w:w="3021"/>
      </w:tblGrid>
      <w:tr w:rsidR="00332CA2" w14:paraId="6188E51F" w14:textId="77777777" w:rsidTr="00332CA2">
        <w:tc>
          <w:tcPr>
            <w:tcW w:w="3020" w:type="dxa"/>
          </w:tcPr>
          <w:p w14:paraId="611E6281" w14:textId="0DF772D2" w:rsidR="00332CA2" w:rsidRDefault="00332CA2" w:rsidP="00196BD8">
            <w:pPr>
              <w:spacing w:line="276" w:lineRule="auto"/>
              <w:jc w:val="both"/>
            </w:pPr>
          </w:p>
        </w:tc>
        <w:tc>
          <w:tcPr>
            <w:tcW w:w="3021" w:type="dxa"/>
          </w:tcPr>
          <w:p w14:paraId="65B5E865" w14:textId="7BCC6C73" w:rsidR="00332CA2" w:rsidRPr="00332CA2" w:rsidRDefault="00332CA2" w:rsidP="00196BD8">
            <w:pPr>
              <w:spacing w:line="276" w:lineRule="auto"/>
              <w:jc w:val="both"/>
              <w:rPr>
                <w:b/>
                <w:bCs/>
              </w:rPr>
            </w:pPr>
            <w:r w:rsidRPr="00332CA2">
              <w:rPr>
                <w:b/>
                <w:bCs/>
              </w:rPr>
              <w:t>Nederland</w:t>
            </w:r>
          </w:p>
        </w:tc>
        <w:tc>
          <w:tcPr>
            <w:tcW w:w="3021" w:type="dxa"/>
          </w:tcPr>
          <w:p w14:paraId="0EA16ABF" w14:textId="72A09EEB" w:rsidR="00332CA2" w:rsidRPr="00332CA2" w:rsidRDefault="00332CA2" w:rsidP="00196BD8">
            <w:pPr>
              <w:spacing w:line="276" w:lineRule="auto"/>
              <w:jc w:val="both"/>
              <w:rPr>
                <w:b/>
                <w:bCs/>
              </w:rPr>
            </w:pPr>
            <w:r w:rsidRPr="00332CA2">
              <w:rPr>
                <w:b/>
                <w:bCs/>
              </w:rPr>
              <w:t>België</w:t>
            </w:r>
          </w:p>
        </w:tc>
      </w:tr>
      <w:tr w:rsidR="00332CA2" w14:paraId="2F259132" w14:textId="77777777" w:rsidTr="00332CA2">
        <w:tc>
          <w:tcPr>
            <w:tcW w:w="3020" w:type="dxa"/>
          </w:tcPr>
          <w:p w14:paraId="5BCAB7E4" w14:textId="267D66C9" w:rsidR="00332CA2" w:rsidRPr="00332CA2" w:rsidRDefault="00332CA2" w:rsidP="00332CA2">
            <w:pPr>
              <w:spacing w:line="276" w:lineRule="auto"/>
              <w:jc w:val="both"/>
              <w:rPr>
                <w:b/>
                <w:bCs/>
              </w:rPr>
            </w:pPr>
            <w:r w:rsidRPr="00332CA2">
              <w:rPr>
                <w:b/>
                <w:bCs/>
              </w:rPr>
              <w:t>Aantal regelingen</w:t>
            </w:r>
          </w:p>
        </w:tc>
        <w:tc>
          <w:tcPr>
            <w:tcW w:w="3021" w:type="dxa"/>
          </w:tcPr>
          <w:p w14:paraId="0AFD99AC" w14:textId="11C4AE44" w:rsidR="00332CA2" w:rsidRDefault="00332CA2" w:rsidP="00332CA2">
            <w:pPr>
              <w:spacing w:line="276" w:lineRule="auto"/>
              <w:jc w:val="both"/>
            </w:pPr>
            <w:r>
              <w:t>Twee aparte regelingen voor gebruikers</w:t>
            </w:r>
            <w:r>
              <w:rPr>
                <w:b/>
                <w:bCs/>
              </w:rPr>
              <w:t xml:space="preserve">: </w:t>
            </w:r>
            <w:r w:rsidRPr="00332CA2">
              <w:t xml:space="preserve">een regeling voor dienstverrichter en een </w:t>
            </w:r>
            <w:r w:rsidRPr="00332CA2">
              <w:lastRenderedPageBreak/>
              <w:t>regeling voor niet-dienstverrichters</w:t>
            </w:r>
          </w:p>
        </w:tc>
        <w:tc>
          <w:tcPr>
            <w:tcW w:w="3021" w:type="dxa"/>
          </w:tcPr>
          <w:p w14:paraId="3DFD07EB" w14:textId="3070E47E" w:rsidR="00332CA2" w:rsidRDefault="00332CA2" w:rsidP="00332CA2">
            <w:pPr>
              <w:spacing w:line="276" w:lineRule="auto"/>
              <w:jc w:val="both"/>
            </w:pPr>
            <w:proofErr w:type="spellStart"/>
            <w:r>
              <w:lastRenderedPageBreak/>
              <w:t>Één</w:t>
            </w:r>
            <w:proofErr w:type="spellEnd"/>
            <w:r>
              <w:t xml:space="preserve"> universele regeling voor alle gebruikers</w:t>
            </w:r>
          </w:p>
        </w:tc>
      </w:tr>
      <w:tr w:rsidR="00332CA2" w14:paraId="2346E58B" w14:textId="77777777" w:rsidTr="00332CA2">
        <w:tc>
          <w:tcPr>
            <w:tcW w:w="3020" w:type="dxa"/>
          </w:tcPr>
          <w:p w14:paraId="4F40084D" w14:textId="5A9DA08C" w:rsidR="00332CA2" w:rsidRPr="00332CA2" w:rsidRDefault="00332CA2" w:rsidP="00332CA2">
            <w:pPr>
              <w:spacing w:line="276" w:lineRule="auto"/>
              <w:jc w:val="both"/>
              <w:rPr>
                <w:b/>
                <w:bCs/>
              </w:rPr>
            </w:pPr>
            <w:r w:rsidRPr="00332CA2">
              <w:rPr>
                <w:b/>
                <w:bCs/>
              </w:rPr>
              <w:t>Wijze van terhandstelling</w:t>
            </w:r>
          </w:p>
        </w:tc>
        <w:tc>
          <w:tcPr>
            <w:tcW w:w="3021" w:type="dxa"/>
          </w:tcPr>
          <w:p w14:paraId="668B4358" w14:textId="5A648200" w:rsidR="00332CA2" w:rsidRDefault="00332CA2" w:rsidP="00332CA2">
            <w:pPr>
              <w:spacing w:line="276" w:lineRule="auto"/>
              <w:jc w:val="both"/>
            </w:pPr>
            <w:r>
              <w:t>Art. 6:234 BW vereist het verstrekken van algemene voorwaarden</w:t>
            </w:r>
          </w:p>
        </w:tc>
        <w:tc>
          <w:tcPr>
            <w:tcW w:w="3021" w:type="dxa"/>
          </w:tcPr>
          <w:p w14:paraId="07A36ADA" w14:textId="5F374FB5" w:rsidR="00332CA2" w:rsidRDefault="00332CA2" w:rsidP="00332CA2">
            <w:pPr>
              <w:spacing w:line="276" w:lineRule="auto"/>
              <w:jc w:val="both"/>
            </w:pPr>
            <w:r>
              <w:t>Algemene voorwaarden toegankelijk maken via website is voldoende</w:t>
            </w:r>
          </w:p>
        </w:tc>
      </w:tr>
      <w:tr w:rsidR="00332CA2" w14:paraId="2BED9E1B" w14:textId="77777777" w:rsidTr="00332CA2">
        <w:tc>
          <w:tcPr>
            <w:tcW w:w="3020" w:type="dxa"/>
          </w:tcPr>
          <w:p w14:paraId="71E0CFBF" w14:textId="6D320FE3" w:rsidR="00332CA2" w:rsidRPr="00332CA2" w:rsidRDefault="00332CA2" w:rsidP="00332CA2">
            <w:pPr>
              <w:spacing w:line="276" w:lineRule="auto"/>
              <w:jc w:val="both"/>
              <w:rPr>
                <w:b/>
                <w:bCs/>
              </w:rPr>
            </w:pPr>
            <w:r w:rsidRPr="00332CA2">
              <w:rPr>
                <w:b/>
                <w:bCs/>
              </w:rPr>
              <w:t>Opslagvereiste</w:t>
            </w:r>
          </w:p>
        </w:tc>
        <w:tc>
          <w:tcPr>
            <w:tcW w:w="3021" w:type="dxa"/>
          </w:tcPr>
          <w:p w14:paraId="588ED2D0" w14:textId="17C7B744" w:rsidR="00332CA2" w:rsidRDefault="00332CA2" w:rsidP="00332CA2">
            <w:pPr>
              <w:spacing w:line="276" w:lineRule="auto"/>
              <w:jc w:val="both"/>
            </w:pPr>
            <w:r w:rsidRPr="00DE1375">
              <w:t xml:space="preserve">Opslagvereiste </w:t>
            </w:r>
            <w:r>
              <w:t>voor niet-dienstverrichters</w:t>
            </w:r>
          </w:p>
        </w:tc>
        <w:tc>
          <w:tcPr>
            <w:tcW w:w="3021" w:type="dxa"/>
          </w:tcPr>
          <w:p w14:paraId="7A3A5C23" w14:textId="0C930355" w:rsidR="00332CA2" w:rsidRDefault="00332CA2" w:rsidP="00332CA2">
            <w:pPr>
              <w:spacing w:line="276" w:lineRule="auto"/>
              <w:jc w:val="both"/>
            </w:pPr>
            <w:r>
              <w:t>Geen wettelijk opslagvereiste</w:t>
            </w:r>
          </w:p>
        </w:tc>
      </w:tr>
      <w:tr w:rsidR="00332CA2" w14:paraId="0A918975" w14:textId="77777777" w:rsidTr="00332CA2">
        <w:tc>
          <w:tcPr>
            <w:tcW w:w="3020" w:type="dxa"/>
          </w:tcPr>
          <w:p w14:paraId="55D74128" w14:textId="0E177112" w:rsidR="00332CA2" w:rsidRPr="00332CA2" w:rsidRDefault="00332CA2" w:rsidP="00332CA2">
            <w:pPr>
              <w:spacing w:line="276" w:lineRule="auto"/>
              <w:jc w:val="both"/>
              <w:rPr>
                <w:b/>
                <w:bCs/>
              </w:rPr>
            </w:pPr>
            <w:r w:rsidRPr="00332CA2">
              <w:rPr>
                <w:b/>
                <w:bCs/>
              </w:rPr>
              <w:t>Regeling voor dienstverrichters</w:t>
            </w:r>
          </w:p>
        </w:tc>
        <w:tc>
          <w:tcPr>
            <w:tcW w:w="3021" w:type="dxa"/>
          </w:tcPr>
          <w:p w14:paraId="3DEB8315" w14:textId="3E809B75" w:rsidR="00332CA2" w:rsidRDefault="00332CA2" w:rsidP="00332CA2">
            <w:pPr>
              <w:spacing w:line="276" w:lineRule="auto"/>
              <w:jc w:val="both"/>
            </w:pPr>
            <w:r>
              <w:t>art. 6:230c BW werkt als versoepelende regeling</w:t>
            </w:r>
          </w:p>
        </w:tc>
        <w:tc>
          <w:tcPr>
            <w:tcW w:w="3021" w:type="dxa"/>
          </w:tcPr>
          <w:p w14:paraId="0F109785" w14:textId="0D5E19F8" w:rsidR="00332CA2" w:rsidRDefault="00332CA2" w:rsidP="00332CA2">
            <w:pPr>
              <w:spacing w:line="276" w:lineRule="auto"/>
              <w:jc w:val="both"/>
            </w:pPr>
            <w:r>
              <w:t>Art. III.75 stelt een ondergrens voor de wijze van terhandstelling</w:t>
            </w:r>
          </w:p>
        </w:tc>
      </w:tr>
      <w:tr w:rsidR="00332CA2" w14:paraId="315F0ACA" w14:textId="77777777" w:rsidTr="00332CA2">
        <w:tc>
          <w:tcPr>
            <w:tcW w:w="3020" w:type="dxa"/>
          </w:tcPr>
          <w:p w14:paraId="0C531391" w14:textId="05C2E4C6" w:rsidR="00332CA2" w:rsidRPr="00332CA2" w:rsidRDefault="00332CA2" w:rsidP="00332CA2">
            <w:pPr>
              <w:spacing w:line="276" w:lineRule="auto"/>
              <w:jc w:val="both"/>
              <w:rPr>
                <w:b/>
                <w:bCs/>
              </w:rPr>
            </w:pPr>
            <w:r w:rsidRPr="00332CA2">
              <w:rPr>
                <w:b/>
                <w:bCs/>
              </w:rPr>
              <w:t xml:space="preserve">Regelgeving </w:t>
            </w:r>
          </w:p>
        </w:tc>
        <w:tc>
          <w:tcPr>
            <w:tcW w:w="3021" w:type="dxa"/>
          </w:tcPr>
          <w:p w14:paraId="6A224EC8" w14:textId="0174D534" w:rsidR="00332CA2" w:rsidRDefault="00332CA2" w:rsidP="00332CA2">
            <w:pPr>
              <w:spacing w:line="276" w:lineRule="auto"/>
              <w:jc w:val="both"/>
            </w:pPr>
            <w:r>
              <w:t>Regels veelal gecodificeerd</w:t>
            </w:r>
          </w:p>
        </w:tc>
        <w:tc>
          <w:tcPr>
            <w:tcW w:w="3021" w:type="dxa"/>
          </w:tcPr>
          <w:p w14:paraId="413535D5" w14:textId="2B557A1E" w:rsidR="00332CA2" w:rsidRDefault="00332CA2" w:rsidP="00332CA2">
            <w:pPr>
              <w:spacing w:line="276" w:lineRule="auto"/>
              <w:jc w:val="both"/>
            </w:pPr>
            <w:r>
              <w:t xml:space="preserve">Regels voornamelijk te vinden in rechtspraak </w:t>
            </w:r>
          </w:p>
        </w:tc>
      </w:tr>
      <w:tr w:rsidR="00332CA2" w14:paraId="61BC3BEC" w14:textId="77777777" w:rsidTr="00332CA2">
        <w:tc>
          <w:tcPr>
            <w:tcW w:w="3020" w:type="dxa"/>
          </w:tcPr>
          <w:p w14:paraId="262DBC21" w14:textId="08ED2761" w:rsidR="00332CA2" w:rsidRPr="00332CA2" w:rsidRDefault="00332CA2" w:rsidP="00332CA2">
            <w:pPr>
              <w:spacing w:line="276" w:lineRule="auto"/>
              <w:jc w:val="both"/>
              <w:rPr>
                <w:b/>
                <w:bCs/>
              </w:rPr>
            </w:pPr>
            <w:r w:rsidRPr="00332CA2">
              <w:rPr>
                <w:b/>
                <w:bCs/>
              </w:rPr>
              <w:t xml:space="preserve">Sanctie </w:t>
            </w:r>
          </w:p>
        </w:tc>
        <w:tc>
          <w:tcPr>
            <w:tcW w:w="3021" w:type="dxa"/>
          </w:tcPr>
          <w:p w14:paraId="4397022C" w14:textId="04307278" w:rsidR="00332CA2" w:rsidRDefault="00332CA2" w:rsidP="00332CA2">
            <w:pPr>
              <w:spacing w:line="276" w:lineRule="auto"/>
              <w:jc w:val="both"/>
            </w:pPr>
            <w:r>
              <w:t>Vernietigbaarheid algemene voorwaarden</w:t>
            </w:r>
          </w:p>
        </w:tc>
        <w:tc>
          <w:tcPr>
            <w:tcW w:w="3021" w:type="dxa"/>
          </w:tcPr>
          <w:p w14:paraId="133B3711" w14:textId="6E02EB2D" w:rsidR="00332CA2" w:rsidRDefault="00332CA2" w:rsidP="00332CA2">
            <w:pPr>
              <w:spacing w:line="276" w:lineRule="auto"/>
              <w:jc w:val="both"/>
            </w:pPr>
            <w:r>
              <w:t>Geen in de wet geregelde sanctie</w:t>
            </w:r>
          </w:p>
        </w:tc>
      </w:tr>
      <w:tr w:rsidR="00332CA2" w14:paraId="67A7AF4F" w14:textId="77777777" w:rsidTr="00332CA2">
        <w:tc>
          <w:tcPr>
            <w:tcW w:w="3020" w:type="dxa"/>
          </w:tcPr>
          <w:p w14:paraId="0D53C825" w14:textId="453E20DE" w:rsidR="00332CA2" w:rsidRPr="00332CA2" w:rsidRDefault="00332CA2" w:rsidP="00332CA2">
            <w:pPr>
              <w:spacing w:line="276" w:lineRule="auto"/>
              <w:jc w:val="both"/>
              <w:rPr>
                <w:b/>
                <w:bCs/>
              </w:rPr>
            </w:pPr>
            <w:r w:rsidRPr="00332CA2">
              <w:rPr>
                <w:b/>
                <w:bCs/>
              </w:rPr>
              <w:t>Buitensporige bedingen</w:t>
            </w:r>
          </w:p>
        </w:tc>
        <w:tc>
          <w:tcPr>
            <w:tcW w:w="3021" w:type="dxa"/>
          </w:tcPr>
          <w:p w14:paraId="6231ED22" w14:textId="545D6155" w:rsidR="00332CA2" w:rsidRDefault="00332CA2" w:rsidP="00332CA2">
            <w:pPr>
              <w:spacing w:line="276" w:lineRule="auto"/>
              <w:jc w:val="both"/>
            </w:pPr>
            <w:r>
              <w:t>Alle algemene voorwaarden op dezelfde onder de aandacht brengen</w:t>
            </w:r>
          </w:p>
        </w:tc>
        <w:tc>
          <w:tcPr>
            <w:tcW w:w="3021" w:type="dxa"/>
          </w:tcPr>
          <w:p w14:paraId="30632C4F" w14:textId="7480E765" w:rsidR="00332CA2" w:rsidRDefault="00332CA2" w:rsidP="00332CA2">
            <w:pPr>
              <w:spacing w:line="276" w:lineRule="auto"/>
              <w:jc w:val="both"/>
            </w:pPr>
            <w:r>
              <w:t>Buitensporige bedingen uitdrukkelijk onder de aandacht brengen</w:t>
            </w:r>
          </w:p>
        </w:tc>
      </w:tr>
      <w:tr w:rsidR="00332CA2" w14:paraId="4B362761" w14:textId="77777777" w:rsidTr="00332CA2">
        <w:tc>
          <w:tcPr>
            <w:tcW w:w="3020" w:type="dxa"/>
          </w:tcPr>
          <w:p w14:paraId="5CF91F17" w14:textId="2F698EDF" w:rsidR="00332CA2" w:rsidRPr="00332CA2" w:rsidRDefault="00332CA2" w:rsidP="00332CA2">
            <w:pPr>
              <w:spacing w:line="276" w:lineRule="auto"/>
              <w:jc w:val="both"/>
              <w:rPr>
                <w:b/>
                <w:bCs/>
              </w:rPr>
            </w:pPr>
            <w:r w:rsidRPr="00332CA2">
              <w:rPr>
                <w:b/>
                <w:bCs/>
              </w:rPr>
              <w:t xml:space="preserve">Verantwoordelijkheid partijen </w:t>
            </w:r>
          </w:p>
        </w:tc>
        <w:tc>
          <w:tcPr>
            <w:tcW w:w="3021" w:type="dxa"/>
          </w:tcPr>
          <w:p w14:paraId="5C2AA7B2" w14:textId="2F5DCD5C" w:rsidR="00332CA2" w:rsidRDefault="00332CA2" w:rsidP="00332CA2">
            <w:pPr>
              <w:spacing w:line="276" w:lineRule="auto"/>
              <w:jc w:val="both"/>
            </w:pPr>
            <w:r>
              <w:t>Verantwoordelijkheid voor terhandstelling ligt voornamelijk bij de gebruiker</w:t>
            </w:r>
          </w:p>
        </w:tc>
        <w:tc>
          <w:tcPr>
            <w:tcW w:w="3021" w:type="dxa"/>
          </w:tcPr>
          <w:p w14:paraId="6B70388B" w14:textId="5183FBA7" w:rsidR="00332CA2" w:rsidRDefault="00332CA2" w:rsidP="00332CA2">
            <w:pPr>
              <w:spacing w:line="276" w:lineRule="auto"/>
              <w:jc w:val="both"/>
            </w:pPr>
            <w:r>
              <w:t xml:space="preserve">Er bestaat een eigen verantwoordelijkheid voor de wederpartij om de algemene voorwaarden te krijgen </w:t>
            </w:r>
          </w:p>
        </w:tc>
      </w:tr>
    </w:tbl>
    <w:p w14:paraId="118FE8D9" w14:textId="39F80DF9" w:rsidR="00332CA2" w:rsidRDefault="00332CA2" w:rsidP="00332CA2">
      <w:pPr>
        <w:pStyle w:val="Bijschrift"/>
        <w:jc w:val="both"/>
      </w:pPr>
      <w:r>
        <w:t xml:space="preserve">Tabel </w:t>
      </w:r>
      <w:fldSimple w:instr=" SEQ Tabel \* ARABIC ">
        <w:r>
          <w:rPr>
            <w:noProof/>
          </w:rPr>
          <w:t>1</w:t>
        </w:r>
      </w:fldSimple>
    </w:p>
    <w:p w14:paraId="21E1D951" w14:textId="6F332C8E" w:rsidR="00DA6574" w:rsidRDefault="00BC2D4C" w:rsidP="00332CA2">
      <w:pPr>
        <w:pStyle w:val="Kop2"/>
        <w:numPr>
          <w:ilvl w:val="1"/>
          <w:numId w:val="3"/>
        </w:numPr>
        <w:spacing w:line="276" w:lineRule="auto"/>
        <w:jc w:val="both"/>
      </w:pPr>
      <w:bookmarkStart w:id="50" w:name="_Toc182382079"/>
      <w:bookmarkStart w:id="51" w:name="_Toc186375524"/>
      <w:r>
        <w:t>Tussenconclusie</w:t>
      </w:r>
      <w:bookmarkEnd w:id="50"/>
      <w:bookmarkEnd w:id="51"/>
    </w:p>
    <w:p w14:paraId="7FEFEF71" w14:textId="71B32F8E" w:rsidR="00BA0787" w:rsidRDefault="00BA0787" w:rsidP="00196BD8">
      <w:pPr>
        <w:spacing w:line="276" w:lineRule="auto"/>
        <w:jc w:val="both"/>
      </w:pPr>
      <w:r>
        <w:t xml:space="preserve">In deze rechtsvergelijking tussen het Belgische en het Nederlandse rechtssysteem met betrekking tot de terhandstelling van algemene voorwaarden blijkt allereerst dat </w:t>
      </w:r>
      <w:r w:rsidR="003343FF">
        <w:t>deze</w:t>
      </w:r>
      <w:r>
        <w:t xml:space="preserve"> landen vergelijkbare regelingen hebben. De kern van deze regelingen</w:t>
      </w:r>
      <w:r w:rsidR="00B802FF">
        <w:t xml:space="preserve">, zowel in Nederland als in België, </w:t>
      </w:r>
      <w:r>
        <w:t>ligt in de verplichting om de wederpartij in staat te stellen kennis te nemen van de algemene voorwaarden, waarbij de mogelijkheid tot kennisname voldoende is om</w:t>
      </w:r>
      <w:r w:rsidR="00A0299D">
        <w:t xml:space="preserve"> te spreken van een juiste terhandstelling</w:t>
      </w:r>
      <w:r>
        <w:t>.</w:t>
      </w:r>
    </w:p>
    <w:p w14:paraId="4BA287AD" w14:textId="206F2FBE" w:rsidR="00BA0787" w:rsidRDefault="00BA0787" w:rsidP="00196BD8">
      <w:pPr>
        <w:spacing w:line="276" w:lineRule="auto"/>
        <w:jc w:val="both"/>
      </w:pPr>
      <w:r>
        <w:t>De belangrijkste overeenkomsten</w:t>
      </w:r>
      <w:r w:rsidR="00606911">
        <w:t xml:space="preserve"> </w:t>
      </w:r>
      <w:r>
        <w:t xml:space="preserve">tussen de twee rechtsstelsels zijn te vinden in de aanpak van </w:t>
      </w:r>
      <w:r w:rsidR="00D235D6">
        <w:t>dienstverrichters</w:t>
      </w:r>
      <w:r w:rsidR="00740D7B">
        <w:t xml:space="preserve">. </w:t>
      </w:r>
      <w:r>
        <w:t xml:space="preserve"> Zowel in België als in Nederland moeten </w:t>
      </w:r>
      <w:r w:rsidR="00D235D6">
        <w:t>dienstverrichters</w:t>
      </w:r>
      <w:r w:rsidR="00725E4D">
        <w:t xml:space="preserve"> </w:t>
      </w:r>
      <w:r w:rsidR="001E1AC7">
        <w:t xml:space="preserve">met betrekking tot </w:t>
      </w:r>
      <w:r w:rsidR="00725E4D">
        <w:t>onlineovereenkomsten</w:t>
      </w:r>
      <w:r>
        <w:t xml:space="preserve"> ervoor zorgen dat hun algemene voorwaarden gemakkelijk toegankelijk zijn. De regels zijn verder vergelijkbaar in termen van vereisten zoals tijdigheid, duidelijkheid, en ondubbelzinnigheid van de informatie.</w:t>
      </w:r>
    </w:p>
    <w:p w14:paraId="543E2F38" w14:textId="162F0F2B" w:rsidR="00BA0787" w:rsidRDefault="00606911" w:rsidP="00196BD8">
      <w:pPr>
        <w:spacing w:line="276" w:lineRule="auto"/>
        <w:jc w:val="both"/>
      </w:pPr>
      <w:r>
        <w:t>Er zijn echter ook belangrijke verschillen</w:t>
      </w:r>
      <w:r w:rsidR="00D235D6">
        <w:t>, deze uiten zich met name bij de niet-dienstverrichters.</w:t>
      </w:r>
      <w:r w:rsidR="00BA0787">
        <w:t xml:space="preserve"> In </w:t>
      </w:r>
      <w:r w:rsidR="007A73A6">
        <w:t>Nederland moeten niet-dienstverrichters op basis van een aparte regeling voldoen aan strengere vereisten, waaronder het daadwerkelijk verstrekken van de algemene voorwaarden</w:t>
      </w:r>
      <w:r w:rsidR="00BA0787">
        <w:t xml:space="preserve">. België kent een dergelijke aparte regeling niet en hanteert een </w:t>
      </w:r>
      <w:r w:rsidR="00BA0787">
        <w:lastRenderedPageBreak/>
        <w:t>meer algemene benadering voor alle gebruikers van algemene voorwaarden waarin geen specifieke vormvereisten worden gesteld</w:t>
      </w:r>
      <w:r w:rsidR="00A400DA">
        <w:t>, maar slechts een algemene regel voor alle gebruikers van algemene voorwaarden</w:t>
      </w:r>
      <w:r w:rsidR="00BA0787">
        <w:t>.</w:t>
      </w:r>
      <w:r w:rsidR="001D51C5">
        <w:t xml:space="preserve"> </w:t>
      </w:r>
    </w:p>
    <w:p w14:paraId="5C552A6E" w14:textId="53BAA96F" w:rsidR="00F82690" w:rsidRDefault="0017068F" w:rsidP="00196BD8">
      <w:pPr>
        <w:spacing w:line="276" w:lineRule="auto"/>
        <w:jc w:val="both"/>
      </w:pPr>
      <w:r>
        <w:t>Wel kent</w:t>
      </w:r>
      <w:r w:rsidR="007A73A6">
        <w:t xml:space="preserve"> de</w:t>
      </w:r>
      <w:r>
        <w:t xml:space="preserve"> Nederland</w:t>
      </w:r>
      <w:r w:rsidR="007A73A6">
        <w:t>se wetgeving</w:t>
      </w:r>
      <w:r>
        <w:t xml:space="preserve"> </w:t>
      </w:r>
      <w:r w:rsidR="007A73A6">
        <w:t>ook een aantal pluspunten ten opzichte van België. Zo heeft Nederland</w:t>
      </w:r>
      <w:r>
        <w:t xml:space="preserve"> duidelijkere codificatie in de wet, waardoor het raadplegen van de regels omtrent de terhandstelling van de algemene voorwaarden voor gebruikers gemakkelijker is. </w:t>
      </w:r>
      <w:r w:rsidR="00A82071">
        <w:t xml:space="preserve">Verder bevat Nederland wel een opslagvereiste, </w:t>
      </w:r>
      <w:r w:rsidR="00802543">
        <w:t>dat</w:t>
      </w:r>
      <w:r w:rsidR="00A82071">
        <w:t xml:space="preserve"> België niet kent en kent Nederland wel een sanctie op het niet nakomen van de terhandstellingsplicht. In</w:t>
      </w:r>
      <w:r w:rsidR="00CE56A3">
        <w:t xml:space="preserve"> België </w:t>
      </w:r>
      <w:r w:rsidR="00B923D6">
        <w:t xml:space="preserve">is de sanctionering van </w:t>
      </w:r>
      <w:r w:rsidR="009E52F4">
        <w:t xml:space="preserve">niet-nakoming van de terhandstellingsplicht niet geregeld in een specifieke bepaling, maar bestaat de sanctionering uit verschillende opties, zowel in </w:t>
      </w:r>
      <w:r w:rsidR="007A73A6">
        <w:t xml:space="preserve">het </w:t>
      </w:r>
      <w:r w:rsidR="009E52F4">
        <w:t xml:space="preserve">burgerlijkrechtelijk </w:t>
      </w:r>
      <w:r w:rsidR="007A73A6">
        <w:t xml:space="preserve">als het </w:t>
      </w:r>
      <w:r w:rsidR="009E52F4">
        <w:t xml:space="preserve">strafrechtelijk. </w:t>
      </w:r>
    </w:p>
    <w:p w14:paraId="117AC580" w14:textId="10A7DD31" w:rsidR="00344C6B" w:rsidRPr="00344C6B" w:rsidRDefault="00AC653F" w:rsidP="00344C6B">
      <w:pPr>
        <w:spacing w:line="276" w:lineRule="auto"/>
        <w:jc w:val="both"/>
      </w:pPr>
      <w:r>
        <w:t>Concluderend kan gezegd worden dat</w:t>
      </w:r>
      <w:r w:rsidR="00756F8C">
        <w:t>,</w:t>
      </w:r>
      <w:r w:rsidR="00BA0787">
        <w:t xml:space="preserve"> hoewel er belangrijke overeenkomsten zijn tussen de Belgische en Nederlandse regelingen voor de terhandstelling van algemene voorwaarden, het Belgische systeem meer flexibiliteit</w:t>
      </w:r>
      <w:r w:rsidR="00756F8C">
        <w:t xml:space="preserve"> vertoont</w:t>
      </w:r>
      <w:r w:rsidR="00BA0787">
        <w:t xml:space="preserve"> en minder formele eisen</w:t>
      </w:r>
      <w:r w:rsidR="00332CA2">
        <w:t xml:space="preserve"> stelt</w:t>
      </w:r>
      <w:r w:rsidR="00BA0787">
        <w:t>, vooral voor niet-</w:t>
      </w:r>
      <w:r w:rsidR="00A82071">
        <w:t>dienstverrichters</w:t>
      </w:r>
      <w:r w:rsidR="00BA0787">
        <w:t xml:space="preserve">. </w:t>
      </w:r>
      <w:r w:rsidR="00CE56A3">
        <w:t xml:space="preserve">Er </w:t>
      </w:r>
      <w:r w:rsidR="00A20398">
        <w:t>is geen sprake van twee</w:t>
      </w:r>
      <w:r w:rsidR="00CE56A3">
        <w:t xml:space="preserve"> regeling</w:t>
      </w:r>
      <w:r w:rsidR="00A20398">
        <w:t>en die elkaar uitsluite</w:t>
      </w:r>
      <w:r w:rsidR="00230091">
        <w:t>n</w:t>
      </w:r>
      <w:r w:rsidR="007A73A6">
        <w:t>, waardoor het voor alle gebruikers voldoende is dat zij de algemene voorwaarden toegankelijk maken</w:t>
      </w:r>
      <w:r w:rsidR="00D771BC">
        <w:t xml:space="preserve">. </w:t>
      </w:r>
      <w:r w:rsidR="00332CA2">
        <w:t>In de Belgische rechtspraak zijn hier ook geen conflicten over</w:t>
      </w:r>
      <w:r w:rsidR="00816DAD">
        <w:t xml:space="preserve">, wat mijns inziens </w:t>
      </w:r>
      <w:r w:rsidR="00332CA2">
        <w:t>grotendeels te wijten is aan het hebben van een uniforme regeling</w:t>
      </w:r>
      <w:r w:rsidR="00816DAD">
        <w:t xml:space="preserve">. </w:t>
      </w:r>
      <w:r w:rsidR="006B50C0">
        <w:t>Dit lijkt mij een duidelijke indicatie dat het bestaan van twee aparte regelingen voor terhandstelling van algemene voorwaarden onnodig i</w:t>
      </w:r>
      <w:r w:rsidR="00C17647">
        <w:t>s</w:t>
      </w:r>
      <w:r w:rsidR="003E11AD">
        <w:t xml:space="preserve">. </w:t>
      </w:r>
    </w:p>
    <w:p w14:paraId="3A8CA25B" w14:textId="1CFF37EB" w:rsidR="008F5183" w:rsidRDefault="00332CA2" w:rsidP="00332CA2">
      <w:pPr>
        <w:pStyle w:val="Kop1"/>
        <w:numPr>
          <w:ilvl w:val="0"/>
          <w:numId w:val="3"/>
        </w:numPr>
        <w:jc w:val="both"/>
      </w:pPr>
      <w:bookmarkStart w:id="52" w:name="_Toc182382088"/>
      <w:r>
        <w:t xml:space="preserve"> </w:t>
      </w:r>
      <w:bookmarkStart w:id="53" w:name="_Toc186375525"/>
      <w:r w:rsidR="00D7353C">
        <w:t>Hoofdstuk 6 – Een nieuwe regeling</w:t>
      </w:r>
      <w:bookmarkEnd w:id="52"/>
      <w:bookmarkEnd w:id="53"/>
    </w:p>
    <w:p w14:paraId="224DF56D" w14:textId="21104E8F" w:rsidR="00527209" w:rsidRDefault="00534B44" w:rsidP="00196BD8">
      <w:pPr>
        <w:jc w:val="both"/>
      </w:pPr>
      <w:r>
        <w:t>Op basis van het</w:t>
      </w:r>
      <w:r w:rsidR="00F10BD9">
        <w:t xml:space="preserve">geen besproken in bovenstaande hoofdstukken </w:t>
      </w:r>
      <w:r>
        <w:t xml:space="preserve">en de literatuur kan geconcludeerd worden dat de </w:t>
      </w:r>
      <w:r w:rsidR="00F10BD9">
        <w:t>twee verschillende regelingen in ons Burgerlijk wetboek</w:t>
      </w:r>
      <w:r>
        <w:t xml:space="preserve"> </w:t>
      </w:r>
      <w:r w:rsidR="00F10BD9">
        <w:t>hebben</w:t>
      </w:r>
      <w:r>
        <w:t xml:space="preserve"> geleid tot veel onduidelijkheden</w:t>
      </w:r>
      <w:r w:rsidR="001625DF">
        <w:t xml:space="preserve"> en praktische bezwaren.</w:t>
      </w:r>
      <w:r w:rsidR="00F10BD9">
        <w:t xml:space="preserve"> </w:t>
      </w:r>
      <w:r w:rsidR="00527209">
        <w:t>Zo is er veel verwarring omtrent reikwijdte van art. 6:230c BW en art. 6:234 BW; het begrip dienstverrichter is immers nog steeds onduidelijk. Er zijn daarnaast ongerechtvaardigde verschillen tussen de regelingen: art. 6:234 BW biedt meer bescherming voor een wederpartij</w:t>
      </w:r>
      <w:r w:rsidR="005E312F">
        <w:t xml:space="preserve"> door onder andere een opslagvereiste</w:t>
      </w:r>
      <w:r w:rsidR="00527209">
        <w:t xml:space="preserve">, wat ontbreekt bij art. 6:230c BW. Daarentegen hanteert art. 6:230c BW voor dienstverleners een soepelere regeling voor </w:t>
      </w:r>
      <w:r w:rsidR="00B06E02">
        <w:t xml:space="preserve">het gebruik </w:t>
      </w:r>
      <w:r w:rsidR="00527209">
        <w:t>van de algemene voorwaarden ten opzichte van art. 6:234 BW.</w:t>
      </w:r>
      <w:r w:rsidR="005E312F">
        <w:t xml:space="preserve">  Deze bezwaren en verschillen zijn nader besproken in hoofdstuk 4.</w:t>
      </w:r>
    </w:p>
    <w:p w14:paraId="4FE62223" w14:textId="44387D55" w:rsidR="00534B44" w:rsidRDefault="00F10BD9" w:rsidP="00196BD8">
      <w:pPr>
        <w:jc w:val="both"/>
      </w:pPr>
      <w:r>
        <w:t>In dit hoofdstuk wordt een voorstel gedaan voor een nieuwe regeling</w:t>
      </w:r>
      <w:r w:rsidR="00527209">
        <w:t xml:space="preserve"> die bovenstaande problemen poogt te verhelpen</w:t>
      </w:r>
      <w:r>
        <w:t xml:space="preserve">. In paragraaf 1 worden de suggesties die gedaan zijn in de literatuur besproken. In paragraaf 2 wordt een eigen suggestie gedaan voor een nieuwe regeling. Deze nieuwe regeling wordt vervolgens toegelicht in paragraaf 3. Tot slot wordt dit hoofdstuk weer afgesloten met een tussenconclusie. </w:t>
      </w:r>
    </w:p>
    <w:p w14:paraId="3E4A7197" w14:textId="587E7D9C" w:rsidR="008D7A25" w:rsidRPr="00F85B8C" w:rsidRDefault="008D7A25" w:rsidP="00332CA2">
      <w:pPr>
        <w:pStyle w:val="Kop2"/>
        <w:numPr>
          <w:ilvl w:val="1"/>
          <w:numId w:val="3"/>
        </w:numPr>
        <w:jc w:val="both"/>
      </w:pPr>
      <w:bookmarkStart w:id="54" w:name="_Toc182382089"/>
      <w:bookmarkStart w:id="55" w:name="_Toc186375526"/>
      <w:r w:rsidRPr="00F85B8C">
        <w:lastRenderedPageBreak/>
        <w:t>Aanpassingen besproken in de literatuur</w:t>
      </w:r>
      <w:bookmarkEnd w:id="54"/>
      <w:bookmarkEnd w:id="55"/>
    </w:p>
    <w:p w14:paraId="2B6DF222" w14:textId="269A5F93" w:rsidR="006D0154" w:rsidRDefault="00F10BD9" w:rsidP="00196BD8">
      <w:pPr>
        <w:jc w:val="both"/>
      </w:pPr>
      <w:r>
        <w:t>In</w:t>
      </w:r>
      <w:r w:rsidR="00415975">
        <w:t xml:space="preserve"> de literatuur </w:t>
      </w:r>
      <w:r>
        <w:t>zijn</w:t>
      </w:r>
      <w:r w:rsidR="00415975">
        <w:t xml:space="preserve"> door de jaren heen door verschillende auteurs suggesties gedaan die van elkaar verschillen. </w:t>
      </w:r>
      <w:r w:rsidR="00650B16">
        <w:t xml:space="preserve">Die zullen in deze paragraaf uiteen worden gezet. </w:t>
      </w:r>
    </w:p>
    <w:p w14:paraId="40F8295D" w14:textId="2CFD8CEC" w:rsidR="00650B16" w:rsidRDefault="00455F60" w:rsidP="00196BD8">
      <w:pPr>
        <w:jc w:val="both"/>
        <w:rPr>
          <w:u w:val="single"/>
        </w:rPr>
      </w:pPr>
      <w:r>
        <w:rPr>
          <w:u w:val="single"/>
        </w:rPr>
        <w:t xml:space="preserve">Een ‘virtueel depot’ voor algemene voorwaarden </w:t>
      </w:r>
    </w:p>
    <w:p w14:paraId="1A3A2BD8" w14:textId="20B15E39" w:rsidR="00455F60" w:rsidRDefault="00E267CE" w:rsidP="00196BD8">
      <w:pPr>
        <w:jc w:val="both"/>
      </w:pPr>
      <w:r>
        <w:t xml:space="preserve">Van </w:t>
      </w:r>
      <w:r w:rsidR="00F10BD9">
        <w:t>B</w:t>
      </w:r>
      <w:r>
        <w:t>oom noemde de</w:t>
      </w:r>
      <w:r w:rsidR="007B50B4">
        <w:t xml:space="preserve"> informatieverplichting van de algemene voorwaarden in 2011 al een </w:t>
      </w:r>
      <w:r w:rsidR="00FB5161">
        <w:t>“</w:t>
      </w:r>
      <w:r w:rsidR="007B50B4">
        <w:t>onoverzichtelijke warboel van formalistische valkuilen</w:t>
      </w:r>
      <w:r w:rsidR="00FB5161">
        <w:t>”.</w:t>
      </w:r>
      <w:r w:rsidR="008B3140">
        <w:t xml:space="preserve"> </w:t>
      </w:r>
      <w:r w:rsidR="00FB5161">
        <w:t xml:space="preserve"> Hij stelt hiervoor een ‘virtueel depot’</w:t>
      </w:r>
      <w:r w:rsidR="00113934">
        <w:t xml:space="preserve"> van algemene voorwaarden</w:t>
      </w:r>
      <w:r w:rsidR="00FB5161">
        <w:t xml:space="preserve"> </w:t>
      </w:r>
      <w:r w:rsidR="00113934">
        <w:t xml:space="preserve">in de vorm van een openbaar toegankelijk </w:t>
      </w:r>
      <w:r w:rsidR="00DC1737">
        <w:t>internet</w:t>
      </w:r>
      <w:r w:rsidR="00113934">
        <w:t>register</w:t>
      </w:r>
      <w:r w:rsidR="00DC1737">
        <w:t xml:space="preserve">, zodat alle gebruikers </w:t>
      </w:r>
      <w:r w:rsidR="0056252D">
        <w:t xml:space="preserve">bij online en offline overeenkomsten </w:t>
      </w:r>
      <w:r w:rsidR="009D4149">
        <w:t xml:space="preserve">de algemene voorwaarden kunnen toepassen door (leesbaar en traceerbaar) te </w:t>
      </w:r>
      <w:r w:rsidR="0056252D">
        <w:t xml:space="preserve">verwijzen naar </w:t>
      </w:r>
      <w:r w:rsidR="009D4149">
        <w:t xml:space="preserve">het e-depot. </w:t>
      </w:r>
      <w:r w:rsidR="00E32C42">
        <w:t xml:space="preserve">De wederpartij moet dit e-depot te allen tijde </w:t>
      </w:r>
      <w:r w:rsidR="0053200F">
        <w:t>kosteloos</w:t>
      </w:r>
      <w:r w:rsidR="00E32C42">
        <w:t xml:space="preserve"> </w:t>
      </w:r>
      <w:r w:rsidR="00F74702">
        <w:t xml:space="preserve">en gemakkelijk </w:t>
      </w:r>
      <w:r w:rsidR="003229D9">
        <w:t xml:space="preserve">met een muisklik </w:t>
      </w:r>
      <w:r w:rsidR="00F74702">
        <w:t>kunnen raadplegen.</w:t>
      </w:r>
      <w:r w:rsidR="0053200F">
        <w:t xml:space="preserve"> De wederpartij die de voorwaarden daadwerkelijk wil lezen kan dat op deze manier gemakkelijk doen en daarnaast brengt het ook voordelen voor de gebruikers ervan.  </w:t>
      </w:r>
      <w:r w:rsidR="001A7D5C">
        <w:t xml:space="preserve">Documenten hoeven niet meer te worden </w:t>
      </w:r>
      <w:r w:rsidR="001122DF">
        <w:t>verstrekt</w:t>
      </w:r>
      <w:r w:rsidR="001A7D5C">
        <w:t xml:space="preserve"> en voor een onoplettende gebruiker is dit ook een gemakkelijke manier om altijd aan de informatieverplichting te hebben voldaan.</w:t>
      </w:r>
      <w:r w:rsidR="001A7D5C">
        <w:rPr>
          <w:rStyle w:val="Voetnootmarkering"/>
        </w:rPr>
        <w:footnoteReference w:id="153"/>
      </w:r>
    </w:p>
    <w:p w14:paraId="39E46B08" w14:textId="78D482AA" w:rsidR="00EE4D1B" w:rsidRDefault="001868E3" w:rsidP="00196BD8">
      <w:pPr>
        <w:jc w:val="both"/>
        <w:rPr>
          <w:u w:val="single"/>
        </w:rPr>
      </w:pPr>
      <w:r>
        <w:rPr>
          <w:u w:val="single"/>
        </w:rPr>
        <w:t>De toevoeging van art. 6:234 lid 4 BW</w:t>
      </w:r>
    </w:p>
    <w:p w14:paraId="6F9C6E9C" w14:textId="457AFF57" w:rsidR="001868E3" w:rsidRDefault="001868E3" w:rsidP="00196BD8">
      <w:pPr>
        <w:jc w:val="both"/>
      </w:pPr>
      <w:r>
        <w:t xml:space="preserve">Spanjaard pleit voor een toevoeging van een vierde lid in art. 6:234 BW om zo </w:t>
      </w:r>
      <w:r w:rsidR="008811A7">
        <w:t xml:space="preserve">de problemen met de wisselwerking tussen art. 6:230c en 6:234 lid 1 BW te voorkomen. De verwijzing naar de </w:t>
      </w:r>
      <w:r w:rsidR="004F2E0E">
        <w:t>D</w:t>
      </w:r>
      <w:r w:rsidR="008811A7">
        <w:t xml:space="preserve">ienstenrichtlijn in art. 6:234 lid 1 BW wordt dan verwijderd en </w:t>
      </w:r>
      <w:r w:rsidR="00CF244D">
        <w:t xml:space="preserve">de verwijzing </w:t>
      </w:r>
      <w:r w:rsidR="008811A7">
        <w:t xml:space="preserve">wordt </w:t>
      </w:r>
      <w:r w:rsidR="00CF244D">
        <w:t>opnieuw in een</w:t>
      </w:r>
      <w:r w:rsidR="008811A7">
        <w:t xml:space="preserve"> vierde lid </w:t>
      </w:r>
      <w:r w:rsidR="00CF244D">
        <w:t xml:space="preserve">aan het artikel </w:t>
      </w:r>
      <w:r w:rsidR="008811A7">
        <w:t>toegevoegd</w:t>
      </w:r>
      <w:r w:rsidR="00CF244D">
        <w:t>.</w:t>
      </w:r>
      <w:r w:rsidR="00E45396">
        <w:t xml:space="preserve"> In dat vierde lid zal dan ook meteen worden aangegeven dat </w:t>
      </w:r>
      <w:r w:rsidR="00C52950">
        <w:t>de algemene voorwaarden moeten kunnen worden opgeslagen</w:t>
      </w:r>
      <w:r w:rsidR="0017699E">
        <w:t xml:space="preserve"> en toegankelijk moeten zijn voor latere kennis</w:t>
      </w:r>
      <w:r w:rsidR="0055485C">
        <w:t>neming.</w:t>
      </w:r>
      <w:r w:rsidR="0055485C">
        <w:rPr>
          <w:rStyle w:val="Voetnootmarkering"/>
        </w:rPr>
        <w:footnoteReference w:id="154"/>
      </w:r>
      <w:r w:rsidR="007D6A92">
        <w:t xml:space="preserve"> Het vierde lid zou er als volgt uitzien: </w:t>
      </w:r>
    </w:p>
    <w:p w14:paraId="40F8FBFE" w14:textId="3FDFC2DC" w:rsidR="00E30D33" w:rsidRPr="001D09FD" w:rsidRDefault="00405B6B" w:rsidP="00196BD8">
      <w:pPr>
        <w:jc w:val="both"/>
        <w:rPr>
          <w:i/>
          <w:iCs/>
        </w:rPr>
      </w:pPr>
      <w:r>
        <w:t>“4</w:t>
      </w:r>
      <w:r w:rsidR="007D6A92" w:rsidRPr="0022070B">
        <w:rPr>
          <w:i/>
          <w:iCs/>
        </w:rPr>
        <w:t xml:space="preserve">. </w:t>
      </w:r>
      <w:r w:rsidR="0022070B" w:rsidRPr="0022070B">
        <w:rPr>
          <w:i/>
          <w:iCs/>
        </w:rPr>
        <w:t xml:space="preserve">De dienstverrichter in de zin van artikel 230a kan in afwijking van de voorgaande leden de in artikel 230b bedoelde informatie op een van de in artikel 230c bedoelde wijzen ter beschikking stellen. Indien terbeschikkingstelling plaatsvindt door mededeling van een webadres, dient terbeschikkingstelling op zodanige wijze plaats te vinden dat de algemene voorwaarden door de wederpartij kunnen worden opgeslagen en voor haar toegankelijk zijn ten behoeve van latere kennisneming.” </w:t>
      </w:r>
      <w:r w:rsidR="0022070B">
        <w:rPr>
          <w:rStyle w:val="Voetnootmarkering"/>
          <w:i/>
          <w:iCs/>
        </w:rPr>
        <w:footnoteReference w:id="155"/>
      </w:r>
    </w:p>
    <w:p w14:paraId="645BAA2F" w14:textId="786B627E" w:rsidR="007D6A92" w:rsidRDefault="009D05A7" w:rsidP="00196BD8">
      <w:pPr>
        <w:jc w:val="both"/>
        <w:rPr>
          <w:u w:val="single"/>
        </w:rPr>
      </w:pPr>
      <w:r>
        <w:rPr>
          <w:u w:val="single"/>
        </w:rPr>
        <w:t>Verwijzing in lid 6:230c BW en verwijdering van art. 6:234 lid 3 BW</w:t>
      </w:r>
    </w:p>
    <w:p w14:paraId="20A670B7" w14:textId="1AC7EF68" w:rsidR="009D05A7" w:rsidRDefault="00BA1BAE" w:rsidP="00196BD8">
      <w:pPr>
        <w:jc w:val="both"/>
      </w:pPr>
      <w:r>
        <w:t>Lodder</w:t>
      </w:r>
      <w:r w:rsidR="009D05A7">
        <w:t xml:space="preserve"> noemt </w:t>
      </w:r>
      <w:r w:rsidR="005F524E">
        <w:t xml:space="preserve">het opleggen van extra vereisten voor niet-dienstverleners onrechtmatig. </w:t>
      </w:r>
      <w:r w:rsidR="001122DF">
        <w:t xml:space="preserve">De </w:t>
      </w:r>
      <w:r w:rsidR="005F524E">
        <w:t>groep</w:t>
      </w:r>
      <w:r w:rsidR="001868ED">
        <w:t xml:space="preserve"> dienstverleners</w:t>
      </w:r>
      <w:r w:rsidR="001122DF">
        <w:t xml:space="preserve"> wordt</w:t>
      </w:r>
      <w:r w:rsidR="001868ED">
        <w:t xml:space="preserve"> steeds ruimer wordt, vooral met het oog op de recente uitsprake</w:t>
      </w:r>
      <w:r w:rsidR="0055463D">
        <w:t>n</w:t>
      </w:r>
      <w:r w:rsidR="001868ED">
        <w:t xml:space="preserve"> van de Hoge raad en het </w:t>
      </w:r>
      <w:r w:rsidR="0084042D">
        <w:t>H</w:t>
      </w:r>
      <w:r w:rsidR="001868ED">
        <w:t>of waardoor detailhandel nu ook valt aan te merken als dienstverlener. Het zou in de huidige tijd dan al helemaal onrechtmatig zijn om de niet-</w:t>
      </w:r>
      <w:r w:rsidR="001868ED">
        <w:lastRenderedPageBreak/>
        <w:t xml:space="preserve">dienstverleners strengere vereisten op te leggen. </w:t>
      </w:r>
      <w:r w:rsidR="003F3B84">
        <w:t xml:space="preserve">Een van de vereisten die art. 6:230c BW voor de dienstverrichters niet kent is het instemmingsvereiste van art. 6:234 lid 3 BW. </w:t>
      </w:r>
      <w:r w:rsidR="0035459E">
        <w:t xml:space="preserve">Dit zorgt voor veel </w:t>
      </w:r>
      <w:r w:rsidR="001122DF">
        <w:t>onduidelijkheid</w:t>
      </w:r>
      <w:r w:rsidR="0035459E">
        <w:t xml:space="preserve"> bij het gebruik van algemene voorwaarden</w:t>
      </w:r>
      <w:r w:rsidR="001122DF">
        <w:t xml:space="preserve"> bij diensten, daarnaast is het ook niet in het gunstig voor het dossierbelang. </w:t>
      </w:r>
      <w:r w:rsidR="003F3B84">
        <w:t xml:space="preserve">Daarom pleit Lodder er ook voor om dit </w:t>
      </w:r>
      <w:r w:rsidR="009A3511">
        <w:t xml:space="preserve">lid </w:t>
      </w:r>
      <w:r w:rsidR="003F3B84">
        <w:t>te verwijderen.</w:t>
      </w:r>
    </w:p>
    <w:p w14:paraId="2B91704B" w14:textId="28518B08" w:rsidR="00A8071C" w:rsidRDefault="00A8071C" w:rsidP="00196BD8">
      <w:pPr>
        <w:jc w:val="both"/>
      </w:pPr>
      <w:r>
        <w:t>Schaub voegt daar nog aan toe dat in plaats van het uitdrukkelijke instemmingsvereiste er ook gebruik kan worden gemaakt van een stilzwijgende toestemming of een bevoegdheid van de wederpartij om alsnog een set papieren algemene voorwaarden op te vragen indien zij geen toegang hebben of willen tot het internet.</w:t>
      </w:r>
      <w:r>
        <w:rPr>
          <w:rStyle w:val="Voetnootmarkering"/>
        </w:rPr>
        <w:footnoteReference w:id="156"/>
      </w:r>
    </w:p>
    <w:p w14:paraId="646258BD" w14:textId="599B80F2" w:rsidR="00962273" w:rsidRDefault="00A8071C" w:rsidP="00196BD8">
      <w:pPr>
        <w:jc w:val="both"/>
      </w:pPr>
      <w:r>
        <w:t>Het stuk van Lodder is</w:t>
      </w:r>
      <w:r w:rsidR="00962273">
        <w:t xml:space="preserve"> geschreven rond de tijd dat de verwijzing </w:t>
      </w:r>
      <w:r w:rsidR="00074546">
        <w:t>in art. 6:234 lid 1 BW naar art. 6:230c BW was verdwenen in 2010. Lodder pleit voor het niet opnieuw toevoegen van de verwijzing.</w:t>
      </w:r>
      <w:r w:rsidR="00A707C3">
        <w:t xml:space="preserve"> Het zou alleen maar verder leiden tot verwarring. Hij stelt daarentegen voor om een verwijzing op te nemen in art. 6:230c BW</w:t>
      </w:r>
      <w:r w:rsidR="00B369C1">
        <w:t xml:space="preserve"> dat voor de informatieplicht voor algemene voorwaarden </w:t>
      </w:r>
      <w:r w:rsidR="0084042D">
        <w:t>verwijst</w:t>
      </w:r>
      <w:r w:rsidR="00B369C1">
        <w:t xml:space="preserve"> naar art. 6:234 BW. In dat geval zou er een coherenter Burgerlijk wetboek ontstaan dan</w:t>
      </w:r>
      <w:r w:rsidR="002B5EDB">
        <w:t xml:space="preserve"> met de huidige terugwaartse verwijzing.</w:t>
      </w:r>
      <w:r w:rsidR="002B5EDB">
        <w:rPr>
          <w:rStyle w:val="Voetnootmarkering"/>
        </w:rPr>
        <w:footnoteReference w:id="157"/>
      </w:r>
      <w:r w:rsidR="002B5EDB">
        <w:t xml:space="preserve"> </w:t>
      </w:r>
    </w:p>
    <w:p w14:paraId="2DF2B737" w14:textId="60A84AEE" w:rsidR="00141A1F" w:rsidRDefault="007B1F93" w:rsidP="00196BD8">
      <w:pPr>
        <w:jc w:val="both"/>
        <w:rPr>
          <w:u w:val="single"/>
        </w:rPr>
      </w:pPr>
      <w:r>
        <w:rPr>
          <w:u w:val="single"/>
        </w:rPr>
        <w:t>Een tweede lid toevoegen aan art. 6:230c BW</w:t>
      </w:r>
    </w:p>
    <w:p w14:paraId="185729AF" w14:textId="2861E8A1" w:rsidR="00461299" w:rsidRDefault="00461299" w:rsidP="00196BD8">
      <w:pPr>
        <w:jc w:val="both"/>
      </w:pPr>
      <w:r>
        <w:t xml:space="preserve">De Graaf komt in 2018 met het idee om een tweede lid toe te voegen aan art. 6:230c BW. Dit zou er als volgt uitzien: </w:t>
      </w:r>
    </w:p>
    <w:p w14:paraId="0821F555" w14:textId="609AD8A5" w:rsidR="00461299" w:rsidRPr="002E4BD3" w:rsidRDefault="00461299" w:rsidP="00196BD8">
      <w:pPr>
        <w:jc w:val="both"/>
        <w:rPr>
          <w:i/>
          <w:iCs/>
        </w:rPr>
      </w:pPr>
      <w:r w:rsidRPr="002E4BD3">
        <w:rPr>
          <w:i/>
          <w:iCs/>
        </w:rPr>
        <w:t xml:space="preserve">“2. </w:t>
      </w:r>
      <w:r w:rsidR="002E4BD3" w:rsidRPr="002E4BD3">
        <w:rPr>
          <w:i/>
          <w:iCs/>
        </w:rPr>
        <w:t>De in artikel 230b onder 6 bedoelde informatie wordt, door de dienstverrichter bedoeld in artikel 230b, aanhef die een dienst van de informatiemaatschappij bedoeld in artikel 15d lid 3 van Boek 3 verleent, voor of bij het sluiten van de overeenkomst op zodanige wijze aan de wederpartij ter beschikking gesteld, dat die informatie door hem kan worden opgeslagen zodat die voor hem toegankelijk is ten behoeve van latere kennisneming.</w:t>
      </w:r>
      <w:r w:rsidR="002E4BD3">
        <w:rPr>
          <w:i/>
          <w:iCs/>
        </w:rPr>
        <w:t>”</w:t>
      </w:r>
    </w:p>
    <w:p w14:paraId="17DC950F" w14:textId="196C4626" w:rsidR="00122428" w:rsidRDefault="00B61DB7" w:rsidP="00196BD8">
      <w:pPr>
        <w:jc w:val="both"/>
      </w:pPr>
      <w:r>
        <w:t xml:space="preserve">Met deze toevoeging </w:t>
      </w:r>
      <w:r w:rsidR="00A36788">
        <w:t xml:space="preserve">wordt de dienstverrichter verplicht om, net zoals een niet-dienstverrichter, de wederpartij de mogelijkheid te geven de </w:t>
      </w:r>
      <w:r w:rsidR="001122DF">
        <w:t>algemene voorwaarden</w:t>
      </w:r>
      <w:r w:rsidR="00A36788">
        <w:t xml:space="preserve"> op te slaan en later nog in te zien. </w:t>
      </w:r>
      <w:r w:rsidR="00A907BC">
        <w:t>Dit zou in overeenstemming zijn met art. 10 lid 3 Richtlijn inzake elektronische handel</w:t>
      </w:r>
      <w:r w:rsidR="001122DF">
        <w:t xml:space="preserve"> en het opslag- en toegankelijkheidsvereiste</w:t>
      </w:r>
      <w:r w:rsidR="00A907BC">
        <w:t>. Zo worden ook de regelingen tussen Dienstverrichter en niet-dienstverrichter weer wat meer gelijk getrokken.</w:t>
      </w:r>
      <w:r w:rsidR="00A907BC">
        <w:rPr>
          <w:rStyle w:val="Voetnootmarkering"/>
        </w:rPr>
        <w:footnoteReference w:id="158"/>
      </w:r>
    </w:p>
    <w:p w14:paraId="4B6C32FD" w14:textId="78161E92" w:rsidR="00122428" w:rsidRDefault="007F4087" w:rsidP="00196BD8">
      <w:pPr>
        <w:jc w:val="both"/>
        <w:rPr>
          <w:u w:val="single"/>
        </w:rPr>
      </w:pPr>
      <w:r>
        <w:rPr>
          <w:u w:val="single"/>
        </w:rPr>
        <w:t>Een toevoeging aan art.</w:t>
      </w:r>
      <w:r w:rsidR="00860C33">
        <w:rPr>
          <w:u w:val="single"/>
        </w:rPr>
        <w:t xml:space="preserve"> 6:235 lid 3 BW</w:t>
      </w:r>
    </w:p>
    <w:p w14:paraId="248B9D2F" w14:textId="21C32ACF" w:rsidR="00860C33" w:rsidRPr="00860C33" w:rsidRDefault="00860C33" w:rsidP="00196BD8">
      <w:pPr>
        <w:jc w:val="both"/>
      </w:pPr>
      <w:r>
        <w:t xml:space="preserve">De Graaf pleit </w:t>
      </w:r>
      <w:r w:rsidR="007B3723">
        <w:t>daarnaast</w:t>
      </w:r>
      <w:r>
        <w:t xml:space="preserve"> voor het schrappen van de verwijzing naar art. 6:230c BW in art. 6:234 lid 1 BW. Dit zou voor te veel verwarring zorgen. Hij wil daarentegen </w:t>
      </w:r>
      <w:r w:rsidR="00DB3024">
        <w:t>de volgende</w:t>
      </w:r>
      <w:r>
        <w:t xml:space="preserve"> extra volzin toevoegen aan art. 6:235 lid 3 BW</w:t>
      </w:r>
      <w:r w:rsidR="00DB3024">
        <w:t>: “</w:t>
      </w:r>
      <w:r w:rsidR="00E75CAD" w:rsidRPr="00E75CAD">
        <w:rPr>
          <w:i/>
          <w:iCs/>
        </w:rPr>
        <w:t xml:space="preserve">Op de vernietigingsgrond bedoeld in artikel </w:t>
      </w:r>
      <w:r w:rsidR="00E75CAD" w:rsidRPr="00E75CAD">
        <w:rPr>
          <w:i/>
          <w:iCs/>
        </w:rPr>
        <w:lastRenderedPageBreak/>
        <w:t>233 onder b, kan geen beroep worden gedaan indien voldaan is aan het in artikel 230b onder 6 bepaalde overeenkomstig het in artikel 230c en 230e bepaalde</w:t>
      </w:r>
      <w:r w:rsidR="00E75CAD" w:rsidRPr="00E75CAD">
        <w:t>.</w:t>
      </w:r>
      <w:r w:rsidR="00E75CAD">
        <w:t>”</w:t>
      </w:r>
      <w:r w:rsidR="002D2B54">
        <w:rPr>
          <w:rStyle w:val="Voetnootmarkering"/>
        </w:rPr>
        <w:footnoteReference w:id="159"/>
      </w:r>
    </w:p>
    <w:p w14:paraId="00275F43" w14:textId="61657209" w:rsidR="00715408" w:rsidRDefault="009E70C4" w:rsidP="00196BD8">
      <w:pPr>
        <w:jc w:val="both"/>
      </w:pPr>
      <w:r>
        <w:t>Deze toevoeging voorkomt dat een wederpartij zich beroept op vernietiging omdat niet is voldaan aan de informatieplicht van art. 6:233</w:t>
      </w:r>
      <w:r w:rsidR="00095582">
        <w:t xml:space="preserve"> sub </w:t>
      </w:r>
      <w:r>
        <w:t xml:space="preserve">b </w:t>
      </w:r>
      <w:r w:rsidR="00095582">
        <w:t xml:space="preserve">jo. 6:234 </w:t>
      </w:r>
      <w:r>
        <w:t xml:space="preserve">BW, maar </w:t>
      </w:r>
      <w:r w:rsidR="00C0468A">
        <w:t>wel voldaan is aan de informatieplicht ex art. 6:230b sub 6 jo. art. 6:230c</w:t>
      </w:r>
      <w:r w:rsidR="000169F7">
        <w:t xml:space="preserve"> jo. art. 6:</w:t>
      </w:r>
      <w:r w:rsidR="000169F7" w:rsidRPr="000169F7">
        <w:t>230e</w:t>
      </w:r>
      <w:r w:rsidR="000169F7">
        <w:t xml:space="preserve"> BW. Deze situatie zal zich voornamelijk voordoen als een mondelinge overeenkomst is gesloten </w:t>
      </w:r>
      <w:r w:rsidR="00E57CA9">
        <w:t xml:space="preserve">waarbij de algemene voorwaarden ná het sluiten van de overeenkomst worden </w:t>
      </w:r>
      <w:r w:rsidR="00FF0F0F">
        <w:t xml:space="preserve">overhandigd, maar vóór </w:t>
      </w:r>
      <w:r w:rsidR="0078769C">
        <w:t>het verrichten van de dienst overeenkomst</w:t>
      </w:r>
      <w:r w:rsidR="0084042D">
        <w:t>ig</w:t>
      </w:r>
      <w:r w:rsidR="0078769C">
        <w:t xml:space="preserve"> art. 6:230c BW.  Zonder bovenstaande toevoeging zou de wederpartij de algemene voorwaarden kunnen laten vernietigen op grond van art. 6:233b</w:t>
      </w:r>
      <w:r w:rsidR="007628DD">
        <w:t xml:space="preserve"> jo. art. 6:234 BW, aangezien de algemene voorwaarden bij deze regeling </w:t>
      </w:r>
      <w:r w:rsidR="000E11E4">
        <w:t>voor het sluiten van de overeenkomst ter beschikking moeten worden gesteld. Dit zou in de geschetste situatie niet gebeurd zijn, maar met bovenstaande toevoeging is dat probleem verholpen.</w:t>
      </w:r>
    </w:p>
    <w:p w14:paraId="07B19791" w14:textId="34A68097" w:rsidR="00681F6C" w:rsidRPr="00F74E6B" w:rsidRDefault="000F50BE" w:rsidP="00332CA2">
      <w:pPr>
        <w:pStyle w:val="Kop2"/>
        <w:numPr>
          <w:ilvl w:val="1"/>
          <w:numId w:val="3"/>
        </w:numPr>
        <w:jc w:val="both"/>
      </w:pPr>
      <w:bookmarkStart w:id="56" w:name="_Toc182382090"/>
      <w:bookmarkStart w:id="57" w:name="_Toc186375527"/>
      <w:r w:rsidRPr="00F74E6B">
        <w:t>Suggestie voor een nieuwe regeling</w:t>
      </w:r>
      <w:bookmarkEnd w:id="56"/>
      <w:bookmarkEnd w:id="57"/>
    </w:p>
    <w:p w14:paraId="2976602B" w14:textId="772046E4" w:rsidR="007B3723" w:rsidRDefault="007B3723" w:rsidP="00196BD8">
      <w:pPr>
        <w:jc w:val="both"/>
      </w:pPr>
      <w:r>
        <w:t>In de literatuur worden verschillende oplossingen voor de problematiek omtrent de terhandstelling van algemene voorwaarden aangedragen. Een ding lijken ze wel gemeen te hebben</w:t>
      </w:r>
      <w:r w:rsidR="0084042D">
        <w:t>:</w:t>
      </w:r>
      <w:r>
        <w:t xml:space="preserve"> de discrepantie tussen de twee regelingen moet verdwijnen. </w:t>
      </w:r>
    </w:p>
    <w:p w14:paraId="4728EB9C" w14:textId="69CBD214" w:rsidR="00CA5441" w:rsidRDefault="006C3FAD" w:rsidP="00196BD8">
      <w:pPr>
        <w:jc w:val="both"/>
      </w:pPr>
      <w:r>
        <w:t xml:space="preserve">In de vorige hoofdstukken zijn beide regelingen </w:t>
      </w:r>
      <w:r w:rsidR="0047591F">
        <w:t>besproken</w:t>
      </w:r>
      <w:r>
        <w:t xml:space="preserve">, is een rechtsvergelijking </w:t>
      </w:r>
      <w:r w:rsidR="00473326">
        <w:t>gemaakt</w:t>
      </w:r>
      <w:r>
        <w:t xml:space="preserve"> met België en is onderzocht wat de kritiek en suggesties uit de literatuur zijn. </w:t>
      </w:r>
      <w:r w:rsidR="00951BFE">
        <w:t xml:space="preserve">In deze paragraaf zal ik op basis van </w:t>
      </w:r>
      <w:r w:rsidR="007B3723">
        <w:t>de bovengenoemde informatie</w:t>
      </w:r>
      <w:r w:rsidR="00951BFE">
        <w:t xml:space="preserve"> een </w:t>
      </w:r>
      <w:r w:rsidR="007B3723">
        <w:t xml:space="preserve">eigen </w:t>
      </w:r>
      <w:r w:rsidR="00951BFE">
        <w:t xml:space="preserve">suggestie doen voor een nieuwe regeling </w:t>
      </w:r>
      <w:r w:rsidR="003E7787">
        <w:t>waarbij geen onderscheid wordt gemaakt tussen dienstverrichter en niet-dienstverrichte</w:t>
      </w:r>
      <w:r w:rsidR="00760082">
        <w:t xml:space="preserve">r. De regeling dient zo eenvoudig mogelijk te zijn en de </w:t>
      </w:r>
      <w:r w:rsidR="007B3723">
        <w:t>onrechtmatige</w:t>
      </w:r>
      <w:r w:rsidR="00760082">
        <w:t xml:space="preserve"> verschillen zullen verdwijnen. </w:t>
      </w:r>
      <w:r w:rsidR="00F13302">
        <w:t xml:space="preserve"> </w:t>
      </w:r>
    </w:p>
    <w:p w14:paraId="513F28DD" w14:textId="73CB98C2" w:rsidR="00435861" w:rsidRDefault="00D261F2" w:rsidP="00196BD8">
      <w:pPr>
        <w:jc w:val="both"/>
      </w:pPr>
      <w:r>
        <w:t>De nieuwe regeling moet mijns inziens aan een aantal vereisten voldoen</w:t>
      </w:r>
      <w:r w:rsidR="0044432E">
        <w:t xml:space="preserve">. De </w:t>
      </w:r>
      <w:r w:rsidR="00992DC3">
        <w:t>verwijzing naar 6:230c BW</w:t>
      </w:r>
      <w:r w:rsidR="0047591F">
        <w:t xml:space="preserve"> </w:t>
      </w:r>
      <w:r w:rsidR="0044432E">
        <w:t xml:space="preserve">in het eerste lid </w:t>
      </w:r>
      <w:r w:rsidR="0047591F">
        <w:t xml:space="preserve">van art. 6:234 BW </w:t>
      </w:r>
      <w:r w:rsidR="0044432E">
        <w:t xml:space="preserve">moet verdwijnen. </w:t>
      </w:r>
      <w:r w:rsidR="00435861">
        <w:t xml:space="preserve">Ik sluit me in dit geval ook aan bij Lodder die voorstelt om in plaats van een terugwaartse verwijzing in art. 6:234 lid 1 BW een verwijzing op te nemen in art. 6:230c BW. Deze verwijzing zal voor de </w:t>
      </w:r>
      <w:r w:rsidR="0047591F">
        <w:t xml:space="preserve">informatieplicht met betrekking tot </w:t>
      </w:r>
      <w:r w:rsidR="00435861">
        <w:t xml:space="preserve">algemene voorwaarden dan verwijzen naar art. 6:234 BW. </w:t>
      </w:r>
    </w:p>
    <w:p w14:paraId="32A32ECD" w14:textId="7F2E79EF" w:rsidR="00453290" w:rsidRDefault="000E5C9C" w:rsidP="00196BD8">
      <w:pPr>
        <w:jc w:val="both"/>
      </w:pPr>
      <w:r>
        <w:t>Daarnaast moet</w:t>
      </w:r>
      <w:r w:rsidR="00966FC1">
        <w:t xml:space="preserve"> </w:t>
      </w:r>
      <w:r w:rsidR="00454AE6">
        <w:t>worden</w:t>
      </w:r>
      <w:r w:rsidR="00966FC1">
        <w:t xml:space="preserve"> voldaan aan het opslag</w:t>
      </w:r>
      <w:r w:rsidR="00951E84">
        <w:t>- en toegankelijkheids</w:t>
      </w:r>
      <w:r w:rsidR="00966FC1">
        <w:t xml:space="preserve">vereiste dat, zoals besproken in paragraaf </w:t>
      </w:r>
      <w:r w:rsidR="00B06E02">
        <w:t>4</w:t>
      </w:r>
      <w:r w:rsidR="00966FC1">
        <w:t>.6</w:t>
      </w:r>
      <w:r w:rsidR="00A91B21">
        <w:t>,</w:t>
      </w:r>
      <w:r w:rsidR="009423E6">
        <w:t xml:space="preserve"> </w:t>
      </w:r>
      <w:r w:rsidR="000020BB">
        <w:t>vereist is voor de gebruikers van de algemene voorwaarden</w:t>
      </w:r>
      <w:r w:rsidR="00572C0B">
        <w:t xml:space="preserve"> op basis van de Richtlijn elektronische handel. </w:t>
      </w:r>
      <w:r w:rsidR="00BE2D5B">
        <w:t>Met het oog op het dossierbelang van een wederpartij lijkt dit mij een goede toevoe</w:t>
      </w:r>
      <w:r w:rsidR="00410235">
        <w:t xml:space="preserve">ging voor alle gebruikers van de algemene voorwaarden. </w:t>
      </w:r>
      <w:r w:rsidR="008D12FF">
        <w:t>Dit zal daarom blijven bestaan in art. 6:234 lid 2 BW.</w:t>
      </w:r>
    </w:p>
    <w:p w14:paraId="2287530E" w14:textId="2BB616E5" w:rsidR="007A73A6" w:rsidRPr="007A73A6" w:rsidRDefault="003F3613" w:rsidP="00196BD8">
      <w:pPr>
        <w:jc w:val="both"/>
        <w:rPr>
          <w:color w:val="000000" w:themeColor="text1"/>
        </w:rPr>
      </w:pPr>
      <w:r>
        <w:lastRenderedPageBreak/>
        <w:t xml:space="preserve">Lodder en Schaub stellen allebei het verwijderen van art. 6:234 lid 3 BW voor. </w:t>
      </w:r>
      <w:r w:rsidR="007136D1">
        <w:t xml:space="preserve">Dit lid vereist uitdrukkelijke instemming van de wederpartij voor het gebruik van elektronische terhandstelling van algemene voorwaarden bij offlineovereenkomsten. </w:t>
      </w:r>
      <w:r w:rsidR="00E2343A">
        <w:t>I</w:t>
      </w:r>
      <w:r>
        <w:t xml:space="preserve">n de praktijk </w:t>
      </w:r>
      <w:r w:rsidR="006876FA">
        <w:t>wordt</w:t>
      </w:r>
      <w:r>
        <w:t xml:space="preserve"> het vrijwel nooit gebruikt vanwege de praktische bezwaren besproken in </w:t>
      </w:r>
      <w:r w:rsidR="002514CE">
        <w:t xml:space="preserve">paragraaf </w:t>
      </w:r>
      <w:r w:rsidR="00B06E02">
        <w:t>2</w:t>
      </w:r>
      <w:r w:rsidR="002514CE">
        <w:t xml:space="preserve">.3.4. Het volledig verwijderen </w:t>
      </w:r>
      <w:r w:rsidR="00387401">
        <w:t xml:space="preserve">van lid 3 lijkt mij </w:t>
      </w:r>
      <w:r w:rsidR="00E2343A">
        <w:t xml:space="preserve">in dat geval </w:t>
      </w:r>
      <w:r w:rsidR="00387401">
        <w:t>zinvol</w:t>
      </w:r>
      <w:r w:rsidR="00694B42">
        <w:t>.</w:t>
      </w:r>
      <w:r w:rsidR="006876FA">
        <w:t xml:space="preserve"> </w:t>
      </w:r>
      <w:r w:rsidR="00694B42" w:rsidRPr="00A35998">
        <w:rPr>
          <w:color w:val="FF0000"/>
        </w:rPr>
        <w:t xml:space="preserve"> </w:t>
      </w:r>
      <w:r w:rsidR="00387401" w:rsidRPr="00A35998">
        <w:rPr>
          <w:color w:val="000000" w:themeColor="text1"/>
        </w:rPr>
        <w:t xml:space="preserve">Wel moeten de wederpartijen die geen gebruik willen of kunnen maken van het internet </w:t>
      </w:r>
      <w:r w:rsidR="00EB0803">
        <w:rPr>
          <w:color w:val="000000" w:themeColor="text1"/>
        </w:rPr>
        <w:t xml:space="preserve">dan op een andere wijze worden </w:t>
      </w:r>
      <w:r w:rsidR="00387401" w:rsidRPr="00A35998">
        <w:rPr>
          <w:color w:val="000000" w:themeColor="text1"/>
        </w:rPr>
        <w:t xml:space="preserve">beschermd. Dit zal gedaan worden met een toevoeging aan </w:t>
      </w:r>
      <w:r w:rsidR="006876FA" w:rsidRPr="00A35998">
        <w:rPr>
          <w:color w:val="000000" w:themeColor="text1"/>
        </w:rPr>
        <w:t xml:space="preserve">art. 6:234 </w:t>
      </w:r>
      <w:r w:rsidR="00387401" w:rsidRPr="00A35998">
        <w:rPr>
          <w:color w:val="000000" w:themeColor="text1"/>
        </w:rPr>
        <w:t>lid 2</w:t>
      </w:r>
      <w:r w:rsidR="006876FA" w:rsidRPr="00A35998">
        <w:rPr>
          <w:color w:val="000000" w:themeColor="text1"/>
        </w:rPr>
        <w:t xml:space="preserve"> BW</w:t>
      </w:r>
      <w:r w:rsidR="00387401" w:rsidRPr="00A35998">
        <w:rPr>
          <w:color w:val="000000" w:themeColor="text1"/>
        </w:rPr>
        <w:t xml:space="preserve">. </w:t>
      </w:r>
      <w:r w:rsidR="007A73A6">
        <w:rPr>
          <w:color w:val="000000" w:themeColor="text1"/>
        </w:rPr>
        <w:t>Tot slot wordt de uitzondering voor grote wederpartijen in art. 6:235 lid 1 BW verwijderd, zodat ook grote wederpartijen zich, indien nodig, kunnen beroepen op vernietiging van de algemene voorwaarden.</w:t>
      </w:r>
      <w:r w:rsidR="001122DF">
        <w:rPr>
          <w:color w:val="000000" w:themeColor="text1"/>
        </w:rPr>
        <w:t xml:space="preserve"> </w:t>
      </w:r>
    </w:p>
    <w:p w14:paraId="0F7CE169" w14:textId="44E04473" w:rsidR="00B34C3D" w:rsidRDefault="009861B5" w:rsidP="00196BD8">
      <w:pPr>
        <w:jc w:val="both"/>
      </w:pPr>
      <w:r>
        <w:t xml:space="preserve">Om te kunnen voldoen aan bovenstaande </w:t>
      </w:r>
      <w:r w:rsidR="009156CA">
        <w:t>suggesties</w:t>
      </w:r>
      <w:r>
        <w:t xml:space="preserve"> zullen de regelingen vanzelfsprekend moeten</w:t>
      </w:r>
      <w:r w:rsidR="00000F57">
        <w:t xml:space="preserve"> worden</w:t>
      </w:r>
      <w:r>
        <w:t xml:space="preserve"> aangepast. </w:t>
      </w:r>
      <w:r w:rsidR="000E6D7B">
        <w:t xml:space="preserve">Hieronder </w:t>
      </w:r>
      <w:r w:rsidR="00332CA2">
        <w:t>zal ik</w:t>
      </w:r>
      <w:r w:rsidR="000E6D7B">
        <w:t xml:space="preserve"> voorbeelden </w:t>
      </w:r>
      <w:r w:rsidR="00332CA2">
        <w:t>geven</w:t>
      </w:r>
      <w:r w:rsidR="000E6D7B">
        <w:t xml:space="preserve"> van de </w:t>
      </w:r>
      <w:r w:rsidR="00332CA2">
        <w:t>aanpassingen in de artikelen</w:t>
      </w:r>
      <w:r w:rsidR="000E6D7B">
        <w:t xml:space="preserve"> samen met een toelichting. De onderstreepte delen zijn veranderd</w:t>
      </w:r>
      <w:r w:rsidR="006452AC">
        <w:t xml:space="preserve"> of verwijderd. </w:t>
      </w:r>
    </w:p>
    <w:p w14:paraId="2FB0055A" w14:textId="4FCCC731" w:rsidR="00156700" w:rsidRDefault="00DC7499" w:rsidP="00196BD8">
      <w:pPr>
        <w:jc w:val="both"/>
        <w:rPr>
          <w:b/>
          <w:bCs/>
        </w:rPr>
      </w:pPr>
      <w:r>
        <w:rPr>
          <w:b/>
          <w:bCs/>
        </w:rPr>
        <w:t>Art</w:t>
      </w:r>
      <w:r w:rsidR="008522AD">
        <w:rPr>
          <w:b/>
          <w:bCs/>
        </w:rPr>
        <w:t>ikel</w:t>
      </w:r>
      <w:r>
        <w:rPr>
          <w:b/>
          <w:bCs/>
        </w:rPr>
        <w:t xml:space="preserve"> 6:230</w:t>
      </w:r>
      <w:r w:rsidR="007162C0">
        <w:rPr>
          <w:b/>
          <w:bCs/>
        </w:rPr>
        <w:t>c BW</w:t>
      </w:r>
      <w:r>
        <w:rPr>
          <w:b/>
          <w:bCs/>
        </w:rPr>
        <w:t xml:space="preserve"> (OUD)</w:t>
      </w:r>
    </w:p>
    <w:p w14:paraId="6F3F7E9F" w14:textId="1D6BB711" w:rsidR="00DC7499" w:rsidRDefault="003D712F" w:rsidP="00196BD8">
      <w:pPr>
        <w:jc w:val="both"/>
      </w:pPr>
      <w:r>
        <w:t>De in artikel 230b be</w:t>
      </w:r>
      <w:r w:rsidR="0051174E">
        <w:t>d</w:t>
      </w:r>
      <w:r>
        <w:t>oelde informatie, naar keuze van de dienstverrichter, bedoeld in artikel 230b, aanhef:</w:t>
      </w:r>
    </w:p>
    <w:p w14:paraId="227AD8A7" w14:textId="4A406783" w:rsidR="003D712F" w:rsidRDefault="0084042D" w:rsidP="00196BD8">
      <w:pPr>
        <w:pStyle w:val="Lijstalinea"/>
        <w:numPr>
          <w:ilvl w:val="0"/>
          <w:numId w:val="14"/>
        </w:numPr>
        <w:jc w:val="both"/>
      </w:pPr>
      <w:proofErr w:type="gramStart"/>
      <w:r>
        <w:t>w</w:t>
      </w:r>
      <w:r w:rsidR="003D712F">
        <w:t>ordt</w:t>
      </w:r>
      <w:proofErr w:type="gramEnd"/>
      <w:r w:rsidR="003D712F">
        <w:t xml:space="preserve"> op eigen </w:t>
      </w:r>
      <w:r w:rsidR="00487B37">
        <w:t>initiatief</w:t>
      </w:r>
      <w:r w:rsidR="003D712F">
        <w:t xml:space="preserve"> door de dienstverrichter verstrekt;</w:t>
      </w:r>
    </w:p>
    <w:p w14:paraId="47594AA0" w14:textId="6FFF295E" w:rsidR="003D712F" w:rsidRDefault="0084042D" w:rsidP="00196BD8">
      <w:pPr>
        <w:pStyle w:val="Lijstalinea"/>
        <w:numPr>
          <w:ilvl w:val="0"/>
          <w:numId w:val="14"/>
        </w:numPr>
        <w:jc w:val="both"/>
      </w:pPr>
      <w:proofErr w:type="gramStart"/>
      <w:r>
        <w:t>i</w:t>
      </w:r>
      <w:r w:rsidR="003D712F">
        <w:t>s</w:t>
      </w:r>
      <w:proofErr w:type="gramEnd"/>
      <w:r w:rsidR="003D712F">
        <w:t xml:space="preserve"> voor de afnemer gemakkelijk toegankelijk op de plaats waar de dienst wordt verricht of de overeenkomst wordt gesloten;</w:t>
      </w:r>
    </w:p>
    <w:p w14:paraId="189C8E0A" w14:textId="60B4BEBC" w:rsidR="003D712F" w:rsidRDefault="0084042D" w:rsidP="00196BD8">
      <w:pPr>
        <w:pStyle w:val="Lijstalinea"/>
        <w:numPr>
          <w:ilvl w:val="0"/>
          <w:numId w:val="14"/>
        </w:numPr>
        <w:jc w:val="both"/>
      </w:pPr>
      <w:proofErr w:type="gramStart"/>
      <w:r>
        <w:t>i</w:t>
      </w:r>
      <w:r w:rsidR="003D712F">
        <w:t>s</w:t>
      </w:r>
      <w:proofErr w:type="gramEnd"/>
      <w:r w:rsidR="003D712F">
        <w:t xml:space="preserve"> voor de afnemer gemakkelijk toegankelijk op een door de dienstverrichter meegedeeld adres;</w:t>
      </w:r>
    </w:p>
    <w:p w14:paraId="7340E8D3" w14:textId="3173BC39" w:rsidR="003D2EB0" w:rsidRDefault="0084042D" w:rsidP="0087116B">
      <w:pPr>
        <w:pStyle w:val="Lijstalinea"/>
        <w:numPr>
          <w:ilvl w:val="0"/>
          <w:numId w:val="14"/>
        </w:numPr>
        <w:jc w:val="both"/>
      </w:pPr>
      <w:proofErr w:type="gramStart"/>
      <w:r>
        <w:t>i</w:t>
      </w:r>
      <w:r w:rsidR="003D712F">
        <w:t>s</w:t>
      </w:r>
      <w:proofErr w:type="gramEnd"/>
      <w:r w:rsidR="003D712F">
        <w:t xml:space="preserve"> opgenomen in alle door de dienstverrichter aan de afnemer verstrekte documenten waarin deze diensten in detail worden beschreven. </w:t>
      </w:r>
    </w:p>
    <w:p w14:paraId="0E1D28EC" w14:textId="5CE3E05F" w:rsidR="003D712F" w:rsidRDefault="003D712F" w:rsidP="00196BD8">
      <w:pPr>
        <w:jc w:val="both"/>
        <w:rPr>
          <w:b/>
          <w:bCs/>
        </w:rPr>
      </w:pPr>
      <w:r w:rsidRPr="003D712F">
        <w:rPr>
          <w:b/>
          <w:bCs/>
        </w:rPr>
        <w:t>Art</w:t>
      </w:r>
      <w:r w:rsidR="008522AD">
        <w:rPr>
          <w:b/>
          <w:bCs/>
        </w:rPr>
        <w:t>ikel</w:t>
      </w:r>
      <w:r w:rsidRPr="003D712F">
        <w:rPr>
          <w:b/>
          <w:bCs/>
        </w:rPr>
        <w:t xml:space="preserve"> 6:230c BW (NIEUW)</w:t>
      </w:r>
    </w:p>
    <w:p w14:paraId="0283E773" w14:textId="2A8A3395" w:rsidR="003D712F" w:rsidRDefault="00846990" w:rsidP="00196BD8">
      <w:pPr>
        <w:jc w:val="both"/>
      </w:pPr>
      <w:r>
        <w:t xml:space="preserve">1. </w:t>
      </w:r>
      <w:r w:rsidR="009F24C0">
        <w:t xml:space="preserve">De in artikel 230b </w:t>
      </w:r>
      <w:r w:rsidR="009F24C0" w:rsidRPr="00846990">
        <w:rPr>
          <w:u w:val="single"/>
        </w:rPr>
        <w:t xml:space="preserve">onder </w:t>
      </w:r>
      <w:r w:rsidR="00C25289" w:rsidRPr="00846990">
        <w:rPr>
          <w:u w:val="single"/>
        </w:rPr>
        <w:t>1-5 en onder 7-13 bedoelde informatie</w:t>
      </w:r>
      <w:r w:rsidR="00C25289">
        <w:t xml:space="preserve">, </w:t>
      </w:r>
      <w:r w:rsidR="00144AB0">
        <w:t>naar keuze van de</w:t>
      </w:r>
      <w:r w:rsidR="00487B37">
        <w:t xml:space="preserve"> dienstverrichter, bedoeld in artikel 230b, aanhef: </w:t>
      </w:r>
    </w:p>
    <w:p w14:paraId="1B4FCFC2" w14:textId="25E2F9A2" w:rsidR="00487B37" w:rsidRDefault="0084042D" w:rsidP="00196BD8">
      <w:pPr>
        <w:pStyle w:val="Lijstalinea"/>
        <w:numPr>
          <w:ilvl w:val="0"/>
          <w:numId w:val="15"/>
        </w:numPr>
        <w:jc w:val="both"/>
      </w:pPr>
      <w:proofErr w:type="gramStart"/>
      <w:r>
        <w:t>w</w:t>
      </w:r>
      <w:r w:rsidR="00487B37">
        <w:t>ordt</w:t>
      </w:r>
      <w:proofErr w:type="gramEnd"/>
      <w:r w:rsidR="00487B37">
        <w:t xml:space="preserve"> op eigen initiatief door de dienstverrichter verstrekt;</w:t>
      </w:r>
    </w:p>
    <w:p w14:paraId="5FE1FC9F" w14:textId="0D9790B7" w:rsidR="00487B37" w:rsidRDefault="0084042D" w:rsidP="00196BD8">
      <w:pPr>
        <w:pStyle w:val="Lijstalinea"/>
        <w:numPr>
          <w:ilvl w:val="0"/>
          <w:numId w:val="15"/>
        </w:numPr>
        <w:jc w:val="both"/>
      </w:pPr>
      <w:proofErr w:type="gramStart"/>
      <w:r>
        <w:t>i</w:t>
      </w:r>
      <w:r w:rsidR="00487B37">
        <w:t>s</w:t>
      </w:r>
      <w:proofErr w:type="gramEnd"/>
      <w:r w:rsidR="00487B37">
        <w:t xml:space="preserve"> voor de afnemer gemakkelijk toegankelijk op de plaats waar de dienst wordt verricht of de overeenkomst wordt gesloten;</w:t>
      </w:r>
    </w:p>
    <w:p w14:paraId="7BA553F9" w14:textId="705568AA" w:rsidR="00487B37" w:rsidRDefault="0084042D" w:rsidP="00196BD8">
      <w:pPr>
        <w:pStyle w:val="Lijstalinea"/>
        <w:numPr>
          <w:ilvl w:val="0"/>
          <w:numId w:val="15"/>
        </w:numPr>
        <w:jc w:val="both"/>
      </w:pPr>
      <w:proofErr w:type="gramStart"/>
      <w:r>
        <w:t>i</w:t>
      </w:r>
      <w:r w:rsidR="00487B37">
        <w:t>s</w:t>
      </w:r>
      <w:proofErr w:type="gramEnd"/>
      <w:r w:rsidR="00487B37">
        <w:t xml:space="preserve"> voor de afnemer gemakkelijk toegankelijk op een door de dienstverrichter meegedeeld adres;</w:t>
      </w:r>
    </w:p>
    <w:p w14:paraId="10936D19" w14:textId="025AE132" w:rsidR="00487B37" w:rsidRDefault="0084042D" w:rsidP="00196BD8">
      <w:pPr>
        <w:pStyle w:val="Lijstalinea"/>
        <w:numPr>
          <w:ilvl w:val="0"/>
          <w:numId w:val="15"/>
        </w:numPr>
        <w:jc w:val="both"/>
      </w:pPr>
      <w:proofErr w:type="gramStart"/>
      <w:r>
        <w:t>i</w:t>
      </w:r>
      <w:r w:rsidR="00487B37">
        <w:t>s</w:t>
      </w:r>
      <w:proofErr w:type="gramEnd"/>
      <w:r w:rsidR="00487B37">
        <w:t xml:space="preserve"> opgenomen in alle door de dienstverrichter aan de afnemer verstrekte documenten waarin deze diensten in detail worden beschreven. </w:t>
      </w:r>
    </w:p>
    <w:p w14:paraId="70E8F10E" w14:textId="3323585A" w:rsidR="008C5BDF" w:rsidRPr="00CF45F9" w:rsidRDefault="00846990" w:rsidP="00196BD8">
      <w:pPr>
        <w:jc w:val="both"/>
        <w:rPr>
          <w:u w:val="single"/>
        </w:rPr>
      </w:pPr>
      <w:r w:rsidRPr="00A06173">
        <w:rPr>
          <w:u w:val="single"/>
        </w:rPr>
        <w:t xml:space="preserve">2. </w:t>
      </w:r>
      <w:r w:rsidR="00872FC4" w:rsidRPr="00A06173">
        <w:rPr>
          <w:u w:val="single"/>
        </w:rPr>
        <w:t xml:space="preserve">De in artikel 230b onder 6 bedoelde </w:t>
      </w:r>
      <w:r w:rsidR="00507F46">
        <w:rPr>
          <w:u w:val="single"/>
        </w:rPr>
        <w:t>informatie</w:t>
      </w:r>
      <w:r w:rsidR="00CA45B5" w:rsidRPr="00A06173">
        <w:rPr>
          <w:u w:val="single"/>
        </w:rPr>
        <w:t xml:space="preserve"> </w:t>
      </w:r>
      <w:r w:rsidR="00A51752" w:rsidRPr="00A06173">
        <w:rPr>
          <w:u w:val="single"/>
        </w:rPr>
        <w:t>wordt door de dienstverrichter overeenkomstig de in artikel 234 voorziene wijze verstrekt.</w:t>
      </w:r>
    </w:p>
    <w:p w14:paraId="1896C498" w14:textId="77777777" w:rsidR="005E312F" w:rsidRDefault="005E312F" w:rsidP="00196BD8">
      <w:pPr>
        <w:jc w:val="both"/>
        <w:rPr>
          <w:b/>
          <w:bCs/>
        </w:rPr>
      </w:pPr>
    </w:p>
    <w:p w14:paraId="286769E7" w14:textId="11CA4A72" w:rsidR="00E83D8C" w:rsidRPr="003B379A" w:rsidRDefault="008522AD" w:rsidP="00196BD8">
      <w:pPr>
        <w:jc w:val="both"/>
        <w:rPr>
          <w:b/>
          <w:bCs/>
        </w:rPr>
      </w:pPr>
      <w:r w:rsidRPr="003B379A">
        <w:rPr>
          <w:b/>
          <w:bCs/>
        </w:rPr>
        <w:lastRenderedPageBreak/>
        <w:t>Artikel 6:234 BW (OUD)</w:t>
      </w:r>
    </w:p>
    <w:p w14:paraId="2782DDB4" w14:textId="66ADEE74" w:rsidR="00846990" w:rsidRPr="00846990" w:rsidRDefault="00846990" w:rsidP="00196BD8">
      <w:pPr>
        <w:jc w:val="both"/>
      </w:pPr>
      <w:r>
        <w:t xml:space="preserve">1. </w:t>
      </w:r>
      <w:r w:rsidRPr="00846990">
        <w:t xml:space="preserve">De gebruiker heeft aan de wederpartij de in artikel 233 onder b bedoelde mogelijkheid geboden, indien hij de algemene voorwaarden voor of bij het sluiten van de overeenkomst aan de wederpartij ter hand heeft gesteld, </w:t>
      </w:r>
      <w:r w:rsidRPr="006452AC">
        <w:rPr>
          <w:u w:val="single"/>
        </w:rPr>
        <w:t>de voorwaarden overeenkomstig de in artikel 230c voorziene wijze heeft verstrekt of</w:t>
      </w:r>
      <w:r w:rsidRPr="00846990">
        <w:t>, indien dit redelijkerwijs niet mogelijk is, voor de totstandkoming van de overeenkomst aan de wederpartij heeft bekend gemaakt dat de voorwaarden bij hem ter inzage liggen of bij een door hem opgegeven Kamer van Koophandel of een griffie van een gerecht zijn gedeponeerd, alsmede dat zij op verzoek zullen worden toegezonden. Indien de voorwaarden niet voor of bij het sluiten van de overeenkomst aan de wederpartij ter hand zijn gesteld, zijn de bedingen tevens vernietigbaar indien de gebruiker de voorwaarden niet op verzoek van de wederpartij onverwijld op zijn kosten aan haar toezendt. Het omtrent de verplichting tot toezending bepaalde is niet van toepassing, voor zover deze toezending redelijkerwijze niet van de gebruiker kan worden gevergd.</w:t>
      </w:r>
    </w:p>
    <w:p w14:paraId="64133FC8" w14:textId="3400881F" w:rsidR="00846990" w:rsidRPr="00846990" w:rsidRDefault="00846990" w:rsidP="00196BD8">
      <w:pPr>
        <w:jc w:val="both"/>
      </w:pPr>
      <w:r w:rsidRPr="00846990">
        <w:t xml:space="preserve">2. De gebruiker heeft tevens aan de wederpartij de in artikel 233 onder b bedoelde mogelijkheid geboden, indien hij de algemene voorwaarden voor of bij het sluiten van de overeenkomst aan de wederpartij langs elektronische weg ter beschikking heeft gesteld op een zodanige wijze dat deze door haar kunnen worden opgeslagen en voor haar toegankelijk zijn ten behoeve van latere kennisneming </w:t>
      </w:r>
      <w:r w:rsidRPr="0029710A">
        <w:t>of, indien dit redelijkerwijs niet mogelijk is, voor de totstandkoming van de overeenkomst aan de wederpartij heeft bekend gemaakt waar van de voorwaarden langs elektronische weg kan worden kennisgenomen,</w:t>
      </w:r>
      <w:r w:rsidRPr="00846990">
        <w:t xml:space="preserve"> alsmede dat zij op verzoek langs elektronische weg of op andere wijze zullen worden toegezonden.</w:t>
      </w:r>
      <w:r w:rsidR="00315507">
        <w:t xml:space="preserve"> </w:t>
      </w:r>
      <w:r w:rsidRPr="00846990">
        <w:t>Indien de voorwaarden niet voor of bij het sluiten van de overeenkomst aan de wederpartij langs elektronische weg ter beschikking zijn gesteld, zijn de bedingen tevens vernietigbaar indien de gebruiker de voorwaarden niet op verzoek van de wederpartij onverwijld op zijn kosten langs elektronische weg of op andere wijze aan haar toezendt.</w:t>
      </w:r>
    </w:p>
    <w:p w14:paraId="5182C647" w14:textId="7F96481E" w:rsidR="00846990" w:rsidRPr="00846990" w:rsidRDefault="00846990" w:rsidP="00196BD8">
      <w:pPr>
        <w:jc w:val="both"/>
        <w:rPr>
          <w:u w:val="single"/>
        </w:rPr>
      </w:pPr>
      <w:r w:rsidRPr="00846990">
        <w:rPr>
          <w:u w:val="single"/>
        </w:rPr>
        <w:t>3</w:t>
      </w:r>
      <w:r w:rsidRPr="0041782F">
        <w:rPr>
          <w:u w:val="single"/>
        </w:rPr>
        <w:t>.</w:t>
      </w:r>
      <w:r w:rsidRPr="00846990">
        <w:rPr>
          <w:b/>
          <w:bCs/>
          <w:u w:val="single"/>
        </w:rPr>
        <w:t> </w:t>
      </w:r>
      <w:r w:rsidRPr="00846990">
        <w:rPr>
          <w:u w:val="single"/>
        </w:rPr>
        <w:t>Voor het op de in lid 2 bedoelde wijze bieden van een redelijke mogelijkheid om van de algemene voorwaarden kennis te nemen is de uitdrukkelijke instemming van de wederpartij vereist indien de overeenkomst niet langs elektronische weg tot stand komt.</w:t>
      </w:r>
    </w:p>
    <w:p w14:paraId="612999B7" w14:textId="42509A09" w:rsidR="006452AC" w:rsidRDefault="006452AC" w:rsidP="00196BD8">
      <w:pPr>
        <w:jc w:val="both"/>
        <w:rPr>
          <w:b/>
          <w:bCs/>
        </w:rPr>
      </w:pPr>
      <w:r w:rsidRPr="006452AC">
        <w:rPr>
          <w:b/>
          <w:bCs/>
        </w:rPr>
        <w:t>Artikel 6:234 BW (NIEUW)</w:t>
      </w:r>
    </w:p>
    <w:p w14:paraId="43EF4852" w14:textId="0A2D4B04" w:rsidR="00974D7C" w:rsidRPr="00846990" w:rsidRDefault="00974D7C" w:rsidP="00196BD8">
      <w:pPr>
        <w:jc w:val="both"/>
      </w:pPr>
      <w:r>
        <w:t xml:space="preserve">1. </w:t>
      </w:r>
      <w:r w:rsidRPr="00846990">
        <w:t>De gebruiker heeft aan de wederpartij de in artikel 233 onder b bedoelde mogelijkheid geboden, indien hij de algemene voorwaarden voor of bij het sluiten van de overeenkomst aan de wederpartij ter hand heeft gesteld</w:t>
      </w:r>
      <w:r>
        <w:t xml:space="preserve">, </w:t>
      </w:r>
      <w:r w:rsidRPr="00846990">
        <w:t xml:space="preserve">indien dit redelijkerwijs niet mogelijk is, voor de totstandkoming van de overeenkomst aan de wederpartij heeft bekend gemaakt dat de voorwaarden bij hem ter inzage liggen of bij een door hem opgegeven Kamer van Koophandel of een griffie van een gerecht zijn gedeponeerd, alsmede dat zij op verzoek zullen worden toegezonden. Indien de voorwaarden niet voor of bij het sluiten van de overeenkomst aan de wederpartij ter hand zijn gesteld, zijn de bedingen tevens </w:t>
      </w:r>
      <w:r w:rsidRPr="00846990">
        <w:lastRenderedPageBreak/>
        <w:t>vernietigbaar indien de gebruiker de voorwaarden niet op verzoek van de wederpartij onverwijld op zijn kosten aan haar toezendt. Het omtrent de verplichting tot toezending bepaalde is niet van toepassing, voor zover deze toezending redelijkerwijze niet van de gebruiker kan worden gevergd.</w:t>
      </w:r>
    </w:p>
    <w:p w14:paraId="22C35AD6" w14:textId="03FEF1BE" w:rsidR="00116B56" w:rsidRDefault="00974D7C" w:rsidP="00196BD8">
      <w:pPr>
        <w:jc w:val="both"/>
        <w:rPr>
          <w:u w:val="single"/>
        </w:rPr>
      </w:pPr>
      <w:r w:rsidRPr="00846990">
        <w:t>2. De gebruiker heeft tevens aan de wederpartij de in artikel 233 onder b bedoelde mogelijkheid geboden, indien hij de algemene voorwaarden voor of bij het sluiten van de overeenkomst</w:t>
      </w:r>
      <w:r w:rsidR="00B23A5D">
        <w:t xml:space="preserve"> </w:t>
      </w:r>
      <w:r w:rsidR="001D2B37" w:rsidRPr="00B165E2">
        <w:rPr>
          <w:u w:val="single"/>
        </w:rPr>
        <w:t xml:space="preserve">voor de </w:t>
      </w:r>
      <w:r w:rsidR="00CE0874">
        <w:rPr>
          <w:u w:val="single"/>
        </w:rPr>
        <w:t>wederpartij</w:t>
      </w:r>
      <w:r w:rsidR="001D2B37" w:rsidRPr="00B165E2">
        <w:rPr>
          <w:u w:val="single"/>
        </w:rPr>
        <w:t xml:space="preserve"> gemakkelijk elektronisch toegankelijk heeft gemaakt op een elektronisch meegedeeld</w:t>
      </w:r>
      <w:r w:rsidR="00B165E2" w:rsidRPr="00B165E2">
        <w:rPr>
          <w:u w:val="single"/>
        </w:rPr>
        <w:t xml:space="preserve"> adres</w:t>
      </w:r>
      <w:r w:rsidR="001D2B37">
        <w:t xml:space="preserve"> op een zodanige wijze dat </w:t>
      </w:r>
      <w:r w:rsidR="00734BB1">
        <w:t xml:space="preserve">deze door haar kunnen worden </w:t>
      </w:r>
      <w:r w:rsidRPr="00846990">
        <w:t>opgeslagen en voor haar toegankelijk zijn ten behoeve van latere kennisneming</w:t>
      </w:r>
      <w:r w:rsidR="00734BB1">
        <w:t xml:space="preserve"> </w:t>
      </w:r>
      <w:r w:rsidRPr="00846990">
        <w:t>alsmede dat zij op verzoek langs elektronische weg of op andere wijze zullen worden toegezonden.</w:t>
      </w:r>
      <w:r w:rsidR="00982D05">
        <w:t xml:space="preserve"> I</w:t>
      </w:r>
      <w:r w:rsidRPr="00846990">
        <w:t>ndien de voorwaarden niet voor of bij het sluiten van de overeenkomst aan de wederpartij langs elektronische weg ter beschikking zijn gesteld, zijn de bedingen tevens vernietigbaar indien de gebruiker de voorwaarden niet op verzoek van de wederpartij onverwijld op zijn kosten langs elektronische weg of op andere wijze aan haar toezendt.</w:t>
      </w:r>
      <w:r w:rsidR="0091732F">
        <w:t xml:space="preserve"> </w:t>
      </w:r>
      <w:r w:rsidR="00AE0D11" w:rsidRPr="00EB06A2">
        <w:rPr>
          <w:u w:val="single"/>
        </w:rPr>
        <w:t xml:space="preserve">De wederpartij behoudt zich daarbij het recht om te vragen naar een papieren versie van de algemene voorwaarden, </w:t>
      </w:r>
      <w:r w:rsidR="00597634" w:rsidRPr="00EB06A2">
        <w:rPr>
          <w:u w:val="single"/>
        </w:rPr>
        <w:t>die de gebruiker</w:t>
      </w:r>
      <w:r w:rsidR="009809F2">
        <w:rPr>
          <w:u w:val="single"/>
        </w:rPr>
        <w:t xml:space="preserve"> op zijn kosten aan </w:t>
      </w:r>
      <w:r w:rsidR="00843870">
        <w:rPr>
          <w:u w:val="single"/>
        </w:rPr>
        <w:t xml:space="preserve">haar toezendt. </w:t>
      </w:r>
    </w:p>
    <w:p w14:paraId="03870FCD" w14:textId="77777777" w:rsidR="007A73A6" w:rsidRDefault="007A73A6" w:rsidP="007A73A6">
      <w:pPr>
        <w:jc w:val="both"/>
        <w:rPr>
          <w:b/>
          <w:bCs/>
        </w:rPr>
      </w:pPr>
      <w:r>
        <w:rPr>
          <w:b/>
          <w:bCs/>
        </w:rPr>
        <w:t>Artikel 6:235 BW (OUD)</w:t>
      </w:r>
    </w:p>
    <w:p w14:paraId="5174D962" w14:textId="3D3F2F0D" w:rsidR="007A73A6" w:rsidRPr="007A73A6" w:rsidRDefault="007A73A6" w:rsidP="007A73A6">
      <w:pPr>
        <w:jc w:val="both"/>
        <w:rPr>
          <w:u w:val="single"/>
        </w:rPr>
      </w:pPr>
      <w:r w:rsidRPr="007A73A6">
        <w:rPr>
          <w:u w:val="single"/>
        </w:rPr>
        <w:t>1.</w:t>
      </w:r>
      <w:r>
        <w:rPr>
          <w:u w:val="single"/>
        </w:rPr>
        <w:t xml:space="preserve"> </w:t>
      </w:r>
      <w:r w:rsidRPr="007A73A6">
        <w:rPr>
          <w:u w:val="single"/>
        </w:rPr>
        <w:t>Op de vernietigingsgronden bedoeld in de artikelen 233 en 234 kan geen beroep worden gedaan door</w:t>
      </w:r>
    </w:p>
    <w:p w14:paraId="0AC46064" w14:textId="38F8CC4B" w:rsidR="007A73A6" w:rsidRPr="007A73A6" w:rsidRDefault="007A73A6" w:rsidP="007A73A6">
      <w:pPr>
        <w:numPr>
          <w:ilvl w:val="1"/>
          <w:numId w:val="29"/>
        </w:numPr>
        <w:tabs>
          <w:tab w:val="num" w:pos="1440"/>
        </w:tabs>
        <w:spacing w:after="0"/>
        <w:jc w:val="both"/>
        <w:rPr>
          <w:u w:val="single"/>
        </w:rPr>
      </w:pPr>
      <w:r w:rsidRPr="007A73A6">
        <w:rPr>
          <w:u w:val="single"/>
        </w:rPr>
        <w:t>een rechtspersoon bedoeld in artikel 360 van Boek 2, die ten tijde van het sluiten van de overeenkomst laatstelijk zijn jaarrekening openbaar heeft gemaakt, of ten aanzien waarvan op dat tijdstip laatstelijk artikel 403 lid 1 van Boek 2 is toegepast;</w:t>
      </w:r>
    </w:p>
    <w:p w14:paraId="2AB2A35D" w14:textId="77777777" w:rsidR="007A73A6" w:rsidRPr="007A73A6" w:rsidRDefault="007A73A6" w:rsidP="007A73A6">
      <w:pPr>
        <w:numPr>
          <w:ilvl w:val="1"/>
          <w:numId w:val="29"/>
        </w:numPr>
        <w:tabs>
          <w:tab w:val="num" w:pos="1440"/>
        </w:tabs>
        <w:jc w:val="both"/>
        <w:rPr>
          <w:u w:val="single"/>
        </w:rPr>
      </w:pPr>
      <w:r w:rsidRPr="007A73A6">
        <w:rPr>
          <w:u w:val="single"/>
        </w:rPr>
        <w:t>een partij op wie het onder a bepaalde niet van toepassing is, indien op voormeld tijdstip bij haar vijftig of meer personen werkzaam zijn of op dat tijdstip uit een opgave krachtens de Handelsregisterwet 2007 blijkt dat bij haar vijftig of meer personen werkzaam zijn.</w:t>
      </w:r>
    </w:p>
    <w:p w14:paraId="2231E1C2" w14:textId="5E4997E1" w:rsidR="007A73A6" w:rsidRPr="007A73A6" w:rsidRDefault="007A73A6" w:rsidP="007A73A6">
      <w:pPr>
        <w:jc w:val="both"/>
      </w:pPr>
      <w:r>
        <w:t xml:space="preserve">2. </w:t>
      </w:r>
      <w:r w:rsidRPr="007A73A6">
        <w:t>Op de vernietigingsgrond bedoeld in artikel 233 onder a, kan mede een beroep worden gedaan door een partij voor wie de algemene voorwaarden door een gevolmachtigde zijn gebruikt, mits de wederpartij meermalen overeenkomsten sluit waarop dezelfde of nagenoeg dezelfde algemene voorwaarden van toepassing zijn.</w:t>
      </w:r>
    </w:p>
    <w:p w14:paraId="6EAE8114" w14:textId="6142A44E" w:rsidR="007A73A6" w:rsidRPr="007A73A6" w:rsidRDefault="007A73A6" w:rsidP="007A73A6">
      <w:pPr>
        <w:jc w:val="both"/>
      </w:pPr>
      <w:r>
        <w:t xml:space="preserve">3. </w:t>
      </w:r>
      <w:r w:rsidRPr="007A73A6">
        <w:t>Op de vernietigingsgronden bedoeld in de artikelen 233 en 234, kan geen beroep worden gedaan door een partij die meermalen dezelfde of nagenoeg dezelfde algemene voorwaarden in haar overeenkomsten gebruikt.</w:t>
      </w:r>
    </w:p>
    <w:p w14:paraId="379ABF8C" w14:textId="704CFB25" w:rsidR="007A73A6" w:rsidRDefault="007A73A6" w:rsidP="007A73A6">
      <w:pPr>
        <w:tabs>
          <w:tab w:val="num" w:pos="720"/>
        </w:tabs>
        <w:jc w:val="both"/>
      </w:pPr>
      <w:r>
        <w:t xml:space="preserve">4. </w:t>
      </w:r>
      <w:r w:rsidRPr="007A73A6">
        <w:t>De termijn bedoeld in artikel 52 lid 1 onder d van Boek 3, begint met de aanvang van de dag, volgende op die waarop een beroep op het beding is gedaan.</w:t>
      </w:r>
    </w:p>
    <w:p w14:paraId="14BEEE64" w14:textId="77777777" w:rsidR="005E312F" w:rsidRDefault="005E312F" w:rsidP="007A73A6">
      <w:pPr>
        <w:jc w:val="both"/>
        <w:rPr>
          <w:b/>
          <w:bCs/>
        </w:rPr>
      </w:pPr>
    </w:p>
    <w:p w14:paraId="62181E67" w14:textId="77777777" w:rsidR="005E312F" w:rsidRDefault="005E312F" w:rsidP="007A73A6">
      <w:pPr>
        <w:jc w:val="both"/>
        <w:rPr>
          <w:b/>
          <w:bCs/>
        </w:rPr>
      </w:pPr>
    </w:p>
    <w:p w14:paraId="404000AC" w14:textId="7BCC2799" w:rsidR="007A73A6" w:rsidRPr="007A73A6" w:rsidRDefault="007A73A6" w:rsidP="007A73A6">
      <w:pPr>
        <w:jc w:val="both"/>
        <w:rPr>
          <w:b/>
          <w:bCs/>
        </w:rPr>
      </w:pPr>
      <w:r w:rsidRPr="007A73A6">
        <w:rPr>
          <w:b/>
          <w:bCs/>
        </w:rPr>
        <w:lastRenderedPageBreak/>
        <w:t>Art. 6:235 (NIEUW)</w:t>
      </w:r>
    </w:p>
    <w:p w14:paraId="43306472" w14:textId="06393AFF" w:rsidR="007A73A6" w:rsidRPr="007A73A6" w:rsidRDefault="007A73A6" w:rsidP="007A73A6">
      <w:pPr>
        <w:jc w:val="both"/>
      </w:pPr>
      <w:r>
        <w:t xml:space="preserve">1. </w:t>
      </w:r>
      <w:r w:rsidRPr="007A73A6">
        <w:t>Op de vernietigingsgrond bedoeld in artikel 233 onder a, kan mede een beroep worden gedaan door een partij voor wie de algemene voorwaarden door een gevolmachtigde zijn gebruikt, mits de wederpartij meermalen overeenkomsten sluit waarop dezelfde of nagenoeg dezelfde algemene voorwaarden van toepassing zijn.</w:t>
      </w:r>
    </w:p>
    <w:p w14:paraId="328A517E" w14:textId="4461901C" w:rsidR="007A73A6" w:rsidRPr="007A73A6" w:rsidRDefault="007A73A6" w:rsidP="007A73A6">
      <w:pPr>
        <w:jc w:val="both"/>
      </w:pPr>
      <w:r>
        <w:t xml:space="preserve">2. </w:t>
      </w:r>
      <w:r w:rsidRPr="007A73A6">
        <w:t>Op de vernietigingsgronden bedoeld in de artikelen 233 en 234, kan geen beroep worden gedaan door een partij die meermalen dezelfde of nagenoeg dezelfde algemene voorwaarden in haar overeenkomsten gebruikt.</w:t>
      </w:r>
    </w:p>
    <w:p w14:paraId="16992601" w14:textId="0D5A1B8B" w:rsidR="007A73A6" w:rsidRPr="003D2EB0" w:rsidRDefault="007A73A6" w:rsidP="003D2EB0">
      <w:pPr>
        <w:tabs>
          <w:tab w:val="num" w:pos="720"/>
        </w:tabs>
        <w:jc w:val="both"/>
      </w:pPr>
      <w:r>
        <w:t xml:space="preserve">3. </w:t>
      </w:r>
      <w:r w:rsidRPr="007A73A6">
        <w:t>De termijn bedoeld in artikel 52 lid 1 onder d van Boek 3, begint met de aanvang van de dag, volgende op die waarop een beroep op het beding is gedaan.</w:t>
      </w:r>
    </w:p>
    <w:p w14:paraId="6532620A" w14:textId="1AF62CF7" w:rsidR="00CE0874" w:rsidRDefault="00231917" w:rsidP="00196BD8">
      <w:pPr>
        <w:pStyle w:val="Kop2"/>
        <w:jc w:val="both"/>
      </w:pPr>
      <w:bookmarkStart w:id="58" w:name="_Toc182382091"/>
      <w:bookmarkStart w:id="59" w:name="_Toc186375528"/>
      <w:r>
        <w:t>6.3.</w:t>
      </w:r>
      <w:r w:rsidR="006B4A3F">
        <w:tab/>
      </w:r>
      <w:r>
        <w:t xml:space="preserve"> </w:t>
      </w:r>
      <w:r w:rsidR="00155F11" w:rsidRPr="00155F11">
        <w:t>Toelichting nieuwe regeling</w:t>
      </w:r>
      <w:bookmarkEnd w:id="58"/>
      <w:bookmarkEnd w:id="59"/>
      <w:r w:rsidR="00155F11" w:rsidRPr="00155F11">
        <w:t xml:space="preserve"> </w:t>
      </w:r>
    </w:p>
    <w:p w14:paraId="40F65835" w14:textId="39B817AA" w:rsidR="00DC1AC4" w:rsidRDefault="00116B56" w:rsidP="00196BD8">
      <w:pPr>
        <w:jc w:val="both"/>
      </w:pPr>
      <w:r>
        <w:t xml:space="preserve">In mijn suggestie </w:t>
      </w:r>
      <w:r w:rsidR="00FD76C7">
        <w:t>voor een nieuwe regeling van algemene voorwaarden zijn veranderingen aangebracht in zowel art. 6:230c BW en art. 6:234 BW.</w:t>
      </w:r>
      <w:r w:rsidR="00527209">
        <w:t xml:space="preserve"> </w:t>
      </w:r>
      <w:r w:rsidR="00FD76C7">
        <w:t xml:space="preserve">Art. 6:230c BW zal in haar vorm niet veranderen ten opzichte van de versie die te vinden is in het huidige wetboek. Het artikel zal </w:t>
      </w:r>
      <w:r w:rsidR="002F0A92">
        <w:t xml:space="preserve">echter </w:t>
      </w:r>
      <w:r w:rsidR="00FD76C7">
        <w:t>niet</w:t>
      </w:r>
      <w:r w:rsidR="002F0A92">
        <w:t xml:space="preserve"> meer gelden voor </w:t>
      </w:r>
      <w:r w:rsidR="004D620A">
        <w:t xml:space="preserve">terhandstelling van </w:t>
      </w:r>
      <w:r w:rsidR="002F0A92">
        <w:t xml:space="preserve">algemene voorwaarden. </w:t>
      </w:r>
      <w:r w:rsidR="00D500FF">
        <w:t xml:space="preserve">Er wordt een tweede lid toegevoegd </w:t>
      </w:r>
      <w:r w:rsidR="0084042D">
        <w:t>dat</w:t>
      </w:r>
      <w:r w:rsidR="00D500FF">
        <w:t xml:space="preserve"> een </w:t>
      </w:r>
      <w:r w:rsidR="00527209">
        <w:t>vooruit verwijzing</w:t>
      </w:r>
      <w:r w:rsidR="00D500FF">
        <w:t xml:space="preserve"> bevat</w:t>
      </w:r>
      <w:r w:rsidR="00741E30">
        <w:t xml:space="preserve">. Voor de terhandstelling van de algemene voorwaarden wordt </w:t>
      </w:r>
      <w:r w:rsidR="00AC4EE1">
        <w:t xml:space="preserve">nu </w:t>
      </w:r>
      <w:r w:rsidR="00C27D11">
        <w:t>aansluiting gezocht bij</w:t>
      </w:r>
      <w:r w:rsidR="00AC4EE1">
        <w:t xml:space="preserve"> art. 6:234 BW</w:t>
      </w:r>
      <w:r w:rsidR="004B0E47">
        <w:t xml:space="preserve">. </w:t>
      </w:r>
      <w:r w:rsidR="0022310E">
        <w:t>Daarbij is de verwijzing uit art. 6:234 lid 1 BW naar art. 6:230c BW geschrapt.</w:t>
      </w:r>
    </w:p>
    <w:p w14:paraId="4868F8A7" w14:textId="6670B57D" w:rsidR="0084399A" w:rsidRPr="001122DF" w:rsidRDefault="00F345D6" w:rsidP="00196BD8">
      <w:pPr>
        <w:jc w:val="both"/>
        <w:rPr>
          <w:color w:val="FF0000"/>
        </w:rPr>
      </w:pPr>
      <w:r>
        <w:t xml:space="preserve">Dit heeft een aantal voordelen: allereerst zorgt het ervoor dat slechts </w:t>
      </w:r>
      <w:r w:rsidR="004B0E47">
        <w:t>éé</w:t>
      </w:r>
      <w:r>
        <w:t>n regeling geldt voor alle gebruikers van de algemene voorwaarden.</w:t>
      </w:r>
      <w:r w:rsidR="00DC1AC4">
        <w:t xml:space="preserve"> Het is van groot belang dat de discrepantie tussen de regeling voor dienstverrichters en niet-dienstverrichters verdwijnt.</w:t>
      </w:r>
      <w:r>
        <w:t xml:space="preserve"> </w:t>
      </w:r>
      <w:r w:rsidR="00DC1AC4">
        <w:t xml:space="preserve">Het is </w:t>
      </w:r>
      <w:r w:rsidR="004E65B5">
        <w:t xml:space="preserve">immers </w:t>
      </w:r>
      <w:r w:rsidR="00DC1AC4">
        <w:t>onrechtvaardig dat niet-dienstverrichters zijn gebonden aan extra vereisten</w:t>
      </w:r>
      <w:r w:rsidR="004645B3">
        <w:t>;</w:t>
      </w:r>
      <w:r w:rsidR="00DC1AC4">
        <w:t xml:space="preserve"> </w:t>
      </w:r>
      <w:r w:rsidR="007260D7">
        <w:t>z</w:t>
      </w:r>
      <w:r w:rsidR="00DC1AC4">
        <w:t>eker nu het toepassingsbereik van art. 6:230c BW steeds groter wordt.</w:t>
      </w:r>
      <w:r w:rsidR="00F44B9C">
        <w:t xml:space="preserve"> </w:t>
      </w:r>
      <w:r w:rsidR="004C2EA9">
        <w:t xml:space="preserve">De Hoge Raad accepteert mijns inziens art. 6:230c BW als een standaardregeling nu zij </w:t>
      </w:r>
      <w:r w:rsidR="009523EF">
        <w:t>het begrip ‘dienstverrichter’ steeds verder oprek</w:t>
      </w:r>
      <w:r w:rsidR="004571E2">
        <w:t>t</w:t>
      </w:r>
      <w:r w:rsidR="009523EF">
        <w:t>.</w:t>
      </w:r>
      <w:r w:rsidR="004514FD">
        <w:t xml:space="preserve"> Inmiddels valt verreweg het grootste gedeelte van de ondernemers onder deze regeling.</w:t>
      </w:r>
      <w:r w:rsidR="009523EF">
        <w:t xml:space="preserve"> </w:t>
      </w:r>
      <w:r w:rsidR="004514FD">
        <w:t xml:space="preserve">Daarom lijkt het mij </w:t>
      </w:r>
      <w:r w:rsidR="00AF7183">
        <w:t>verstandig dat voor de nieuwe regeling meer aansluiting wordt gezocht bij art. 6:230c BW door middel van een aantal aanpassingen in art. 6:234 BW.</w:t>
      </w:r>
      <w:r w:rsidR="001122DF">
        <w:t xml:space="preserve"> </w:t>
      </w:r>
    </w:p>
    <w:p w14:paraId="515FE183" w14:textId="3842C011" w:rsidR="00C46986" w:rsidRPr="004A2422" w:rsidRDefault="00F345D6" w:rsidP="00196BD8">
      <w:pPr>
        <w:jc w:val="both"/>
        <w:rPr>
          <w:color w:val="000000" w:themeColor="text1"/>
        </w:rPr>
      </w:pPr>
      <w:r>
        <w:t xml:space="preserve">Ten tweede </w:t>
      </w:r>
      <w:r w:rsidR="00B8486F">
        <w:t>zorg</w:t>
      </w:r>
      <w:r w:rsidR="00527209">
        <w:t>t</w:t>
      </w:r>
      <w:r w:rsidR="00B8486F">
        <w:t xml:space="preserve"> de verwijzing </w:t>
      </w:r>
      <w:r w:rsidR="00450113">
        <w:t xml:space="preserve">naar art. 6:230c BW </w:t>
      </w:r>
      <w:r w:rsidR="00B8486F">
        <w:t xml:space="preserve">in art. 6:234 lid 1 BW </w:t>
      </w:r>
      <w:r w:rsidR="00AB198D">
        <w:t>voor verwarring</w:t>
      </w:r>
      <w:r w:rsidR="0015562A">
        <w:t xml:space="preserve"> o</w:t>
      </w:r>
      <w:r w:rsidR="00AB198D">
        <w:t>mtrent</w:t>
      </w:r>
      <w:r w:rsidR="0015562A">
        <w:t xml:space="preserve"> </w:t>
      </w:r>
      <w:r w:rsidR="00AB198D">
        <w:t xml:space="preserve">de vraag </w:t>
      </w:r>
      <w:r w:rsidR="0015562A">
        <w:t>of de verwijzing beteken</w:t>
      </w:r>
      <w:r w:rsidR="00C73FAC">
        <w:t>t</w:t>
      </w:r>
      <w:r w:rsidR="0015562A">
        <w:t xml:space="preserve"> dat art. 6:230c gebruikt </w:t>
      </w:r>
      <w:r w:rsidR="00C73FAC">
        <w:t>kan</w:t>
      </w:r>
      <w:r w:rsidR="0015562A">
        <w:t xml:space="preserve"> worden voor alle gebruikers van de algemene voorwaarden of alleen </w:t>
      </w:r>
      <w:r w:rsidR="004571E2">
        <w:t xml:space="preserve">voor </w:t>
      </w:r>
      <w:r w:rsidR="0015562A">
        <w:t>de dienstverrichters</w:t>
      </w:r>
      <w:r w:rsidR="00527209">
        <w:t>, zoals nader besproken in paragraaf 2.2.</w:t>
      </w:r>
      <w:r w:rsidR="0015562A">
        <w:t xml:space="preserve"> Door de verwijzing weg te halen en alle gebruikers van de algemene voorwaarden gelijk te stellen valt ook dit probleem weg. </w:t>
      </w:r>
      <w:r w:rsidR="00C2165F">
        <w:t>Ook wil ik hierbij verwijzen naar de rechtsvergelijking met het Belgische recht.</w:t>
      </w:r>
      <w:r w:rsidR="001B140C">
        <w:t xml:space="preserve"> </w:t>
      </w:r>
      <w:r w:rsidR="00AC10C6">
        <w:t xml:space="preserve">Er bestaan in </w:t>
      </w:r>
      <w:r w:rsidR="00D5579F">
        <w:t xml:space="preserve">België </w:t>
      </w:r>
      <w:r w:rsidR="00AC10C6">
        <w:t>geen extra vereisten voor niet-dienstverrichters; elke gebruiker kan op dezelfde wijze voldoen aan de terhandstellingsplicht</w:t>
      </w:r>
      <w:r w:rsidR="001122DF">
        <w:t xml:space="preserve"> door de algemene voorwaarden toegankelijk te maken</w:t>
      </w:r>
      <w:r w:rsidR="00AC10C6">
        <w:t xml:space="preserve">. Voor de dienstverrichters geldt slechts het minimumvereiste van art. III.75 WER. Andere gebruikers mogen deze wijzen echter ook gebruiken om de algemene voorwaarden </w:t>
      </w:r>
      <w:r w:rsidR="00AC10C6">
        <w:lastRenderedPageBreak/>
        <w:t>toegankelijk te maken</w:t>
      </w:r>
      <w:r w:rsidR="001122DF">
        <w:t>, waardoor het Belgische recht dichter bij een uniforme regeling komt dan het Nederlandse recht.</w:t>
      </w:r>
      <w:r w:rsidR="00C2165F">
        <w:t xml:space="preserve"> </w:t>
      </w:r>
      <w:r w:rsidR="00FD530C">
        <w:t>Dit heeft</w:t>
      </w:r>
      <w:r w:rsidR="00C2165F">
        <w:t xml:space="preserve"> </w:t>
      </w:r>
      <w:r w:rsidR="00527209">
        <w:t xml:space="preserve">mijns inziens </w:t>
      </w:r>
      <w:r w:rsidR="00C2165F">
        <w:t xml:space="preserve">in het Belgische recht </w:t>
      </w:r>
      <w:r w:rsidR="00FD530C">
        <w:t>ertoe geleid</w:t>
      </w:r>
      <w:r w:rsidR="00C2165F">
        <w:t xml:space="preserve"> dat er ook geen conflicten ontstaan over </w:t>
      </w:r>
      <w:r w:rsidR="001122DF">
        <w:t>welke regeling dient te worden gebruikt</w:t>
      </w:r>
      <w:r w:rsidR="00C2165F">
        <w:t>.</w:t>
      </w:r>
      <w:r w:rsidR="00656285">
        <w:t xml:space="preserve"> </w:t>
      </w:r>
      <w:r w:rsidR="00590AA5">
        <w:t xml:space="preserve">Dit illustreert wederom dat het gebruik van twee afzonderlijke regelingen overbodig is. </w:t>
      </w:r>
    </w:p>
    <w:p w14:paraId="5B308226" w14:textId="7C4BAB35" w:rsidR="00744AD7" w:rsidRPr="00693D27" w:rsidRDefault="005244A9" w:rsidP="00196BD8">
      <w:pPr>
        <w:jc w:val="both"/>
        <w:rPr>
          <w:color w:val="000000" w:themeColor="text1"/>
        </w:rPr>
      </w:pPr>
      <w:r>
        <w:t>Art. 6:234 lid 2 BW wordt ook aangepast. De verplichting om de</w:t>
      </w:r>
      <w:r w:rsidR="00490E34">
        <w:t xml:space="preserve"> alg</w:t>
      </w:r>
      <w:r w:rsidR="00304833">
        <w:t xml:space="preserve">emene voorwaarden langs </w:t>
      </w:r>
      <w:r w:rsidR="004571E2">
        <w:t xml:space="preserve">een </w:t>
      </w:r>
      <w:r w:rsidR="00304833">
        <w:t xml:space="preserve">elektronische weg </w:t>
      </w:r>
      <w:r w:rsidR="00DF0EE8">
        <w:t>te verstrekken</w:t>
      </w:r>
      <w:r w:rsidR="00C06453">
        <w:t xml:space="preserve"> vervalt. Daarvoor komt in de plaats dat het voldoende is dat </w:t>
      </w:r>
      <w:r w:rsidR="0069335A">
        <w:t xml:space="preserve">de algemene voorwaarden gemakkelijk toegankelijk worden gemaakt op </w:t>
      </w:r>
      <w:r w:rsidR="00B34C3D">
        <w:t xml:space="preserve">een </w:t>
      </w:r>
      <w:r w:rsidR="0069335A">
        <w:t>elektronisch adres</w:t>
      </w:r>
      <w:r w:rsidR="00C06453">
        <w:t>.</w:t>
      </w:r>
      <w:r w:rsidR="00F86BCF">
        <w:t xml:space="preserve"> </w:t>
      </w:r>
      <w:r w:rsidR="00F86BCF" w:rsidRPr="007B0762">
        <w:rPr>
          <w:color w:val="000000" w:themeColor="text1"/>
        </w:rPr>
        <w:t xml:space="preserve">Op deze manier wordt de focus meer gelegd op het toegankelijk maken van de algemene voorwaarden en niet slechts op </w:t>
      </w:r>
      <w:r w:rsidR="00F86BCF">
        <w:rPr>
          <w:color w:val="000000" w:themeColor="text1"/>
        </w:rPr>
        <w:t xml:space="preserve">het voldoen aan </w:t>
      </w:r>
      <w:r w:rsidR="00F86BCF" w:rsidRPr="007B0762">
        <w:rPr>
          <w:color w:val="000000" w:themeColor="text1"/>
        </w:rPr>
        <w:t xml:space="preserve">de terhandstellingsplicht. </w:t>
      </w:r>
      <w:r w:rsidR="005E312F">
        <w:rPr>
          <w:color w:val="000000" w:themeColor="text1"/>
        </w:rPr>
        <w:t>Zoals besproken in paragraaf 4.2, levert</w:t>
      </w:r>
      <w:r w:rsidR="001122DF">
        <w:rPr>
          <w:color w:val="000000" w:themeColor="text1"/>
        </w:rPr>
        <w:t xml:space="preserve"> het toegankelijk maken van de algemene voorwaarden</w:t>
      </w:r>
      <w:r w:rsidR="005E312F">
        <w:rPr>
          <w:color w:val="000000" w:themeColor="text1"/>
        </w:rPr>
        <w:t xml:space="preserve"> mijns inziens</w:t>
      </w:r>
      <w:r w:rsidR="001122DF">
        <w:rPr>
          <w:color w:val="000000" w:themeColor="text1"/>
        </w:rPr>
        <w:t xml:space="preserve"> namelijk net zoveel bewustzijn op als het verstrekken van de algemene voorwaarden.</w:t>
      </w:r>
    </w:p>
    <w:p w14:paraId="3AB56704" w14:textId="0F29804F" w:rsidR="0015562A" w:rsidRDefault="009D6777" w:rsidP="00196BD8">
      <w:pPr>
        <w:jc w:val="both"/>
      </w:pPr>
      <w:r>
        <w:t>Het</w:t>
      </w:r>
      <w:r w:rsidR="003D7BF7" w:rsidRPr="00C92802">
        <w:t xml:space="preserve"> opslag- en toegankelijkheidsvereiste van art. 6:234 lid 2 BW</w:t>
      </w:r>
      <w:r>
        <w:t xml:space="preserve"> wordt</w:t>
      </w:r>
      <w:r w:rsidR="003D7BF7" w:rsidRPr="00C92802">
        <w:t xml:space="preserve"> in stand gehouden. Dit </w:t>
      </w:r>
      <w:r>
        <w:t>is</w:t>
      </w:r>
      <w:r w:rsidR="003D7BF7" w:rsidRPr="00C92802">
        <w:t xml:space="preserve"> immers een implementatie van art. 10 lid 3 Richtlijn </w:t>
      </w:r>
      <w:r w:rsidR="00793F53" w:rsidRPr="00C92802">
        <w:t>inzake elektronische handel</w:t>
      </w:r>
      <w:r w:rsidR="00285D64" w:rsidRPr="00C92802">
        <w:t xml:space="preserve">. </w:t>
      </w:r>
      <w:r w:rsidR="007F2F27">
        <w:t xml:space="preserve"> </w:t>
      </w:r>
      <w:r w:rsidR="00BE198B" w:rsidRPr="00C92802">
        <w:t xml:space="preserve">De </w:t>
      </w:r>
      <w:r w:rsidR="001122DF">
        <w:t>Ri</w:t>
      </w:r>
      <w:r w:rsidR="00BE198B" w:rsidRPr="00C92802">
        <w:t>chtlijn wenst</w:t>
      </w:r>
      <w:r w:rsidR="00EF4914">
        <w:t xml:space="preserve"> hierin</w:t>
      </w:r>
      <w:r w:rsidR="00BE198B" w:rsidRPr="00C92802">
        <w:t xml:space="preserve"> geen onderscheid te maken tussen dienstverrichters en niet-dienstverrichters.</w:t>
      </w:r>
      <w:r w:rsidR="00883468">
        <w:t xml:space="preserve"> Daarnaast draagt het hebben van een </w:t>
      </w:r>
      <w:r w:rsidR="00527209">
        <w:t>downloadbare versie van de algemene voorwaarden</w:t>
      </w:r>
      <w:r w:rsidR="00883468">
        <w:t xml:space="preserve"> bij aan het dossierbelang van de wederpartij. </w:t>
      </w:r>
      <w:r w:rsidR="00BE198B" w:rsidRPr="00C92802">
        <w:t xml:space="preserve"> Deze vereisten </w:t>
      </w:r>
      <w:r w:rsidR="006B7D09">
        <w:t>terug laten komen in lid 2 is</w:t>
      </w:r>
      <w:r w:rsidR="003A5E5D" w:rsidRPr="00C92802">
        <w:t xml:space="preserve"> </w:t>
      </w:r>
      <w:r w:rsidR="001122DF">
        <w:t>in mijn optiek</w:t>
      </w:r>
      <w:r w:rsidR="003A5E5D" w:rsidRPr="00C92802">
        <w:t xml:space="preserve"> een betere optie dan de toevoeging van </w:t>
      </w:r>
      <w:r w:rsidR="00AD2F46" w:rsidRPr="00C92802">
        <w:t>het opslagvereiste in een</w:t>
      </w:r>
      <w:r w:rsidR="003A5E5D" w:rsidRPr="00C92802">
        <w:t xml:space="preserve"> tweede lid </w:t>
      </w:r>
      <w:r w:rsidR="00AD2F46" w:rsidRPr="00C92802">
        <w:t>bij</w:t>
      </w:r>
      <w:r w:rsidR="003A5E5D" w:rsidRPr="00C92802">
        <w:t xml:space="preserve"> art. 6:230c BW zoals De Graaf suggereert. Met die toevoeging </w:t>
      </w:r>
      <w:r w:rsidR="004571E2">
        <w:t>doet het probleem zich nog steeds voor</w:t>
      </w:r>
      <w:r w:rsidR="003A5E5D" w:rsidRPr="00C92802">
        <w:t xml:space="preserve"> dat er twee verschillende regelingen zijn voor dienstverrichters en niet-dienstverrichters. </w:t>
      </w:r>
      <w:r w:rsidR="00527209">
        <w:t>Voor een uitgebreidere bespreking van het opslagvereiste wordt verwezen naar paragraaf 2.3.2.</w:t>
      </w:r>
    </w:p>
    <w:p w14:paraId="30D36BBE" w14:textId="164DCC5E" w:rsidR="009E36E4" w:rsidRDefault="00E3203E" w:rsidP="00196BD8">
      <w:pPr>
        <w:jc w:val="both"/>
      </w:pPr>
      <w:r>
        <w:t>Verder</w:t>
      </w:r>
      <w:r w:rsidR="00FA4DB9">
        <w:t xml:space="preserve"> </w:t>
      </w:r>
      <w:r w:rsidR="00A36254">
        <w:t xml:space="preserve">is art. </w:t>
      </w:r>
      <w:r w:rsidR="006E3086">
        <w:t xml:space="preserve">6:234 lid 3 BW komen te vervallen. Dit is verklaarbaar aangezien het in de praktijk vrijwel niet </w:t>
      </w:r>
      <w:r w:rsidR="00C94160">
        <w:t>wordt</w:t>
      </w:r>
      <w:r w:rsidR="006E3086">
        <w:t xml:space="preserve"> gebruikt door de praktische </w:t>
      </w:r>
      <w:r w:rsidR="001122DF">
        <w:t>bezwaren</w:t>
      </w:r>
      <w:r w:rsidR="006E3086">
        <w:t xml:space="preserve"> die het met zich </w:t>
      </w:r>
      <w:r w:rsidR="00C94160">
        <w:t>meebrengt</w:t>
      </w:r>
      <w:r w:rsidR="00527209">
        <w:t xml:space="preserve">, </w:t>
      </w:r>
      <w:r w:rsidR="005E312F">
        <w:t>kijkende naar</w:t>
      </w:r>
      <w:r w:rsidR="00527209">
        <w:t xml:space="preserve"> paragraaf 2.3.4</w:t>
      </w:r>
      <w:r w:rsidR="006E3086">
        <w:t xml:space="preserve">. </w:t>
      </w:r>
      <w:r w:rsidR="002B1065">
        <w:t xml:space="preserve">Ook voor </w:t>
      </w:r>
      <w:r w:rsidR="008901DA">
        <w:t>offlineovereenkomsten</w:t>
      </w:r>
      <w:r w:rsidR="002B1065">
        <w:t xml:space="preserve"> is het nu toegestaan de algemene voorwaarden </w:t>
      </w:r>
      <w:r w:rsidR="008901DA">
        <w:t>toegankelijk te maken op een elektronisch adres</w:t>
      </w:r>
      <w:r w:rsidR="002B1065">
        <w:t xml:space="preserve"> </w:t>
      </w:r>
      <w:r w:rsidR="00E0747C">
        <w:t xml:space="preserve">ex art. 6:234 lid 2 BW. </w:t>
      </w:r>
      <w:r w:rsidR="003800F5">
        <w:t xml:space="preserve">Aan dit lid is de verplichting toegevoegd voor de </w:t>
      </w:r>
      <w:r w:rsidR="00C97776">
        <w:t>gebruiker</w:t>
      </w:r>
      <w:r w:rsidR="003800F5">
        <w:t xml:space="preserve"> om de algemene voorwaarden in een papieren variant aan de wederpartij toe te zenden in het geval de wederpartij daarom verzoekt. Dit is ter bescherming van de wederpartijen die geen gebruik willen of kunnen maken van de </w:t>
      </w:r>
      <w:r w:rsidR="00AC10A2">
        <w:t xml:space="preserve">online </w:t>
      </w:r>
      <w:r w:rsidR="003800F5">
        <w:t xml:space="preserve">algemene voorwaarden. </w:t>
      </w:r>
      <w:r w:rsidR="0057317D">
        <w:t>Met het oog op het feit dat de algemene voorwaarden vaak</w:t>
      </w:r>
      <w:r w:rsidR="00E27580">
        <w:t xml:space="preserve"> toch</w:t>
      </w:r>
      <w:r w:rsidR="0057317D">
        <w:t xml:space="preserve"> niet worden </w:t>
      </w:r>
      <w:r w:rsidR="001122DF">
        <w:t>geraadpleegd door de wederpartij</w:t>
      </w:r>
      <w:r w:rsidR="0057317D">
        <w:t xml:space="preserve"> en het feit dat 96,5% van de huishoudens wel toegang heeft tot het internet lijkt deze </w:t>
      </w:r>
      <w:r w:rsidR="00AC10A2">
        <w:t>optie</w:t>
      </w:r>
      <w:r w:rsidR="0057317D">
        <w:t xml:space="preserve"> mij voldoende. </w:t>
      </w:r>
    </w:p>
    <w:p w14:paraId="3EA71C02" w14:textId="73B5CA86" w:rsidR="009C45C0" w:rsidRDefault="009C45C0" w:rsidP="00196BD8">
      <w:pPr>
        <w:jc w:val="both"/>
      </w:pPr>
      <w:r>
        <w:t xml:space="preserve">Deze nieuwe suggestie zorgt er ook voor dat alle gebruikers van de algemene voorwaarden nu verplicht zijn deze toegankelijk te maken vóór of tijdens </w:t>
      </w:r>
      <w:r w:rsidR="007174AC">
        <w:t>het sluiten van de overeenkomst. Er is op dit vlak geen voordeel meer voor dienstverrichters</w:t>
      </w:r>
      <w:r w:rsidR="005E312F">
        <w:t>, wat eerst wel het geval was kijkende naar paragraaf 3.4</w:t>
      </w:r>
      <w:r w:rsidR="007174AC">
        <w:t xml:space="preserve">. Aangezien de drempel is verlaagd van het verstrekken naar het toegankelijk maken van de algemene voorwaarden, is het mijns inziens </w:t>
      </w:r>
      <w:r w:rsidR="00042860">
        <w:t xml:space="preserve">geoorloofd om de wetgeving van art. 6:234 BW op dit vlak aan te houden. Dit draagt </w:t>
      </w:r>
      <w:r w:rsidR="00042860">
        <w:lastRenderedPageBreak/>
        <w:t xml:space="preserve">tenslotte bij aan de rechtszekerheid van de wederpartij. Daarnaast zorgt de nieuwe regeling er ook voor dat nu voor alle gebruikers een </w:t>
      </w:r>
      <w:r w:rsidR="001122DF">
        <w:t xml:space="preserve">in de wet geregelde </w:t>
      </w:r>
      <w:r w:rsidR="00042860">
        <w:t>sanctie bestaat op het niet-naleven van de terhandstellingsplicht. Niet-naleving zorgt voor vernietigbaarheid van de gehele algemene voorwaarden.</w:t>
      </w:r>
    </w:p>
    <w:p w14:paraId="6B51AA5D" w14:textId="008EF88F" w:rsidR="007A73A6" w:rsidRDefault="007A73A6" w:rsidP="00196BD8">
      <w:pPr>
        <w:jc w:val="both"/>
      </w:pPr>
      <w:r>
        <w:t xml:space="preserve">Als laatste </w:t>
      </w:r>
      <w:r w:rsidR="001122DF">
        <w:t xml:space="preserve">verandering </w:t>
      </w:r>
      <w:r>
        <w:t xml:space="preserve">wordt art. 6:235 lid 1 BW verwijderd. Voor alle grote wederpartijen is het nu mogelijk om zich te beroepen op vernietiging van de algemene voorwaarden indien deze niet juist ter hand zijn gesteld aan de wederpartij. Er wordt zo meer aansluiting gezocht bij afdeling 6.5.2a op dit vlak. Dit lijkt mij ook gerechtvaardigd met het oog op de bescherming die art. 6:248 BW nog biedt. Op grond van de redelijkheid en billijkheid kan vernietiging onder omstandigheden alsnog onterecht worden aangemerkt. Dit zal echter per geval moeten worden beoordeeld door </w:t>
      </w:r>
      <w:r w:rsidR="001122DF">
        <w:t>de</w:t>
      </w:r>
      <w:r>
        <w:t xml:space="preserve"> rechter.</w:t>
      </w:r>
    </w:p>
    <w:p w14:paraId="4BBC35E1" w14:textId="3E0466D2" w:rsidR="00E51536" w:rsidRDefault="00527209" w:rsidP="00196BD8">
      <w:pPr>
        <w:jc w:val="both"/>
      </w:pPr>
      <w:r>
        <w:t xml:space="preserve">Daarnaast </w:t>
      </w:r>
      <w:r w:rsidR="00FA4DB9">
        <w:t xml:space="preserve">wil ik nog stilstaan bij de </w:t>
      </w:r>
      <w:r w:rsidR="009C0F8F">
        <w:t>suggesties in de literatuur die ik niet heb opgenomen in mijn suggestie voor een nieuwe regeling. Het e-depot van Van Boom lijkt mij een prima oplossing</w:t>
      </w:r>
      <w:r w:rsidR="00311E17">
        <w:t xml:space="preserve">, doch </w:t>
      </w:r>
      <w:r w:rsidR="00895B52">
        <w:t>niet de meest wenselijke. Bij het gebruik van een e-depot</w:t>
      </w:r>
      <w:r w:rsidR="00311E17">
        <w:t xml:space="preserve"> </w:t>
      </w:r>
      <w:r w:rsidR="004571E2">
        <w:t>doet het probleem zich voor</w:t>
      </w:r>
      <w:r w:rsidR="00311E17">
        <w:t xml:space="preserve"> dat </w:t>
      </w:r>
      <w:r w:rsidR="00135452">
        <w:t xml:space="preserve">wederpartijen </w:t>
      </w:r>
      <w:r>
        <w:t xml:space="preserve">zonder </w:t>
      </w:r>
      <w:r w:rsidR="00135452">
        <w:t>internettoegang geen gebruik kunnen maken van het e-depot.</w:t>
      </w:r>
      <w:r w:rsidR="00A710FE">
        <w:t xml:space="preserve"> </w:t>
      </w:r>
      <w:r w:rsidR="0042512E">
        <w:t>Zij worden in dat geval alsnog onvoldoende beschermd.</w:t>
      </w:r>
      <w:r w:rsidR="00022CE3">
        <w:t xml:space="preserve"> Voor gebruikers van algemene voorwaarden ontstaat eenzelfde probleem als zij zelf geen gebruik willen maken van het internet. </w:t>
      </w:r>
      <w:r w:rsidR="00BA73A1">
        <w:t>Zij</w:t>
      </w:r>
      <w:r w:rsidR="00022CE3">
        <w:t xml:space="preserve"> worden met </w:t>
      </w:r>
      <w:r w:rsidR="00E9119D">
        <w:t>het gebruik van een</w:t>
      </w:r>
      <w:r w:rsidR="00022CE3">
        <w:t xml:space="preserve"> e-depot gedwongen tot internetgebruik</w:t>
      </w:r>
      <w:r w:rsidR="0062016A">
        <w:t>.</w:t>
      </w:r>
      <w:r>
        <w:t xml:space="preserve"> Dit zal wellicht en erg kleine groep zijn, maar ook deze gebruikers en wederpartijen zullen moeten worden beschermd. Alle wederpartijen moeten immers een redelijke mogelijkheid tot algemene kennisname van de algemene voorwaarden hebben. </w:t>
      </w:r>
      <w:r w:rsidR="007D4C0D">
        <w:t>Een optie is dat</w:t>
      </w:r>
      <w:r w:rsidR="0001602A">
        <w:t xml:space="preserve"> er alsnog een papieren versie </w:t>
      </w:r>
      <w:r w:rsidR="00CE64B2">
        <w:t xml:space="preserve">beschikbaar gesteld </w:t>
      </w:r>
      <w:r w:rsidR="007D4C0D">
        <w:t>kan</w:t>
      </w:r>
      <w:r w:rsidR="00CE64B2">
        <w:t xml:space="preserve"> worden</w:t>
      </w:r>
      <w:r w:rsidR="004571E2">
        <w:t>. H</w:t>
      </w:r>
      <w:r w:rsidR="007D4C0D">
        <w:t>ierdoor</w:t>
      </w:r>
      <w:r w:rsidR="00E9119D">
        <w:t xml:space="preserve"> verliest het e-depot echter zijn nut</w:t>
      </w:r>
      <w:r w:rsidR="00CE64B2">
        <w:t>.</w:t>
      </w:r>
      <w:r w:rsidR="004B2592">
        <w:t xml:space="preserve"> Er moet dan alsnog een wettelijke regeling zijn omtrent de verstrekking van de papieren algemene voorwaarden.</w:t>
      </w:r>
      <w:r w:rsidR="00E51536">
        <w:t xml:space="preserve"> Dit is onwenselijk aangezien er nog steeds </w:t>
      </w:r>
      <w:r w:rsidR="004571E2">
        <w:t>veel</w:t>
      </w:r>
      <w:r w:rsidR="00E51536">
        <w:t xml:space="preserve"> offlineovereenkomsten worden gesloten</w:t>
      </w:r>
      <w:r w:rsidR="00EF6825">
        <w:t xml:space="preserve"> zonder internetgebruik</w:t>
      </w:r>
      <w:r w:rsidR="00E51536">
        <w:t>.</w:t>
      </w:r>
      <w:r w:rsidR="0042512E">
        <w:t xml:space="preserve"> </w:t>
      </w:r>
      <w:r w:rsidR="00D72603">
        <w:t xml:space="preserve">Ook moet er </w:t>
      </w:r>
      <w:r w:rsidR="00BA73A1">
        <w:t>bij het gebruik van een e-depot</w:t>
      </w:r>
      <w:r w:rsidR="00D72603">
        <w:t xml:space="preserve"> een compleet nieuw depot worden opgezet</w:t>
      </w:r>
      <w:r w:rsidR="00707BE6">
        <w:t xml:space="preserve"> waar alle gebruikers en wederpartijen onbekend mee zijn. </w:t>
      </w:r>
      <w:r w:rsidR="00365B6A">
        <w:t xml:space="preserve">Dat terwijl er al een bestaande regeling is die (met een aantal aanpassingen) prima lijkt te werken. </w:t>
      </w:r>
    </w:p>
    <w:p w14:paraId="26637C2B" w14:textId="17691558" w:rsidR="00453290" w:rsidRDefault="00527209" w:rsidP="00196BD8">
      <w:pPr>
        <w:jc w:val="both"/>
      </w:pPr>
      <w:r>
        <w:t>Tot slot pleitte</w:t>
      </w:r>
      <w:r w:rsidR="0042512E">
        <w:t xml:space="preserve"> De Graaf </w:t>
      </w:r>
      <w:r w:rsidR="00964A25">
        <w:t>er</w:t>
      </w:r>
      <w:r w:rsidR="0042512E">
        <w:t xml:space="preserve">voor om een derde lid toe te voegen aan art. 6:235 BW. Dit derde lid zou een verwijzing bevatten naar art. 6:230b jo. art. 6:230c BW </w:t>
      </w:r>
      <w:r w:rsidR="000E346B">
        <w:t>waardoor geen vernietiging kon plaatsvinden indien de algemene voorwaarden</w:t>
      </w:r>
      <w:r w:rsidR="00C940F2">
        <w:t xml:space="preserve"> door middel van die afdeling ter hand zouden worden gesteld. Deze oplossing </w:t>
      </w:r>
      <w:r w:rsidR="001122DF">
        <w:t>zou</w:t>
      </w:r>
      <w:r w:rsidR="00C940F2">
        <w:t xml:space="preserve"> wel voor meer duidelijkheid zorgen dan de huidig</w:t>
      </w:r>
      <w:r w:rsidR="0024510D">
        <w:t>e regeling, maar he</w:t>
      </w:r>
      <w:r w:rsidR="009F7CD5">
        <w:t xml:space="preserve">t lijkt mij echter alsnog niet wenselijk om dit toe te passen. Op deze manier blijven er nog steeds twee verschillende regelingen bestaan voor </w:t>
      </w:r>
      <w:r w:rsidR="00E27B88">
        <w:t>dienstverrichters en niet-dienstverrichters.</w:t>
      </w:r>
      <w:r w:rsidR="004024FD">
        <w:t xml:space="preserve"> </w:t>
      </w:r>
      <w:r w:rsidR="00E47353">
        <w:t xml:space="preserve">Hetzelfde geldt voor de suggestie van Spanjaard voor een toevoeging van art. 6:234 lid 4 BW waarin de verwijzing naar art. 6:230c BW </w:t>
      </w:r>
      <w:r w:rsidR="00B32941">
        <w:t xml:space="preserve">van art. 6:234 lid 1 BW verplaatst wordt naar een apart vierde lid. In dit geval zou hetzelfde onrechtvaardige </w:t>
      </w:r>
      <w:r w:rsidR="00F25907">
        <w:t>voordeel voor dienstverrichters</w:t>
      </w:r>
      <w:r w:rsidR="00B32941">
        <w:t xml:space="preserve"> blijven bestaan. </w:t>
      </w:r>
    </w:p>
    <w:p w14:paraId="73B4B952" w14:textId="2DC20712" w:rsidR="00EF429C" w:rsidRDefault="00EF429C" w:rsidP="00196BD8">
      <w:pPr>
        <w:pStyle w:val="Kop2"/>
        <w:numPr>
          <w:ilvl w:val="1"/>
          <w:numId w:val="26"/>
        </w:numPr>
        <w:jc w:val="both"/>
      </w:pPr>
      <w:bookmarkStart w:id="60" w:name="_Toc182382092"/>
      <w:bookmarkStart w:id="61" w:name="_Toc186375529"/>
      <w:r>
        <w:lastRenderedPageBreak/>
        <w:t>Tussenconclusie</w:t>
      </w:r>
      <w:bookmarkEnd w:id="60"/>
      <w:bookmarkEnd w:id="61"/>
      <w:r>
        <w:t xml:space="preserve"> </w:t>
      </w:r>
    </w:p>
    <w:p w14:paraId="3B5B9A2C" w14:textId="2FA32E1C" w:rsidR="00AF01CC" w:rsidRDefault="00AF01CC" w:rsidP="00196BD8">
      <w:pPr>
        <w:jc w:val="both"/>
      </w:pPr>
      <w:r>
        <w:t xml:space="preserve">De voorgestelde </w:t>
      </w:r>
      <w:r w:rsidR="001215A8">
        <w:t xml:space="preserve">aanpassing van art. 6:234 BW </w:t>
      </w:r>
      <w:r>
        <w:t>introduceert een universele regeling</w:t>
      </w:r>
      <w:r w:rsidR="00B35DF0">
        <w:t xml:space="preserve"> voor alle gebruikers van de algemene voorwaarden. Daarmee verdwijnt het ongerechtvaardigde voordeel van dienstverrichters</w:t>
      </w:r>
      <w:r w:rsidR="001215A8">
        <w:t>.</w:t>
      </w:r>
      <w:r w:rsidR="00653A6D">
        <w:t xml:space="preserve"> In dit nieuwe systeem verdwijnt de</w:t>
      </w:r>
      <w:r w:rsidR="00BC4B61">
        <w:t xml:space="preserve"> verwarrende verwijzing naar </w:t>
      </w:r>
      <w:r w:rsidR="002007E4">
        <w:t>art. 6:230c BW</w:t>
      </w:r>
      <w:r w:rsidR="00232CF5">
        <w:t xml:space="preserve"> dat niet langer meer van toepassing zal zijn op de algemene voorwaarden. </w:t>
      </w:r>
      <w:r w:rsidR="00905538">
        <w:t>Voor</w:t>
      </w:r>
      <w:r w:rsidR="00F4060A">
        <w:t xml:space="preserve"> alle overeenkomsten is het nu voldoende dat wordt verwezen naar een website </w:t>
      </w:r>
      <w:r w:rsidR="00905538">
        <w:t>waar de algemene voorwaarden gemakkelijk toegankelijk zijn. Op deze wijze wordt meer aansluiting gezocht bij art. 6:230c BW.</w:t>
      </w:r>
    </w:p>
    <w:p w14:paraId="69F07140" w14:textId="77777777" w:rsidR="001122DF" w:rsidRDefault="003B6C4D" w:rsidP="00196BD8">
      <w:pPr>
        <w:jc w:val="both"/>
      </w:pPr>
      <w:r>
        <w:t>Dit is een logische ontwikkeling aangezien</w:t>
      </w:r>
      <w:r w:rsidR="00772CD3" w:rsidRPr="00772CD3">
        <w:t xml:space="preserve"> </w:t>
      </w:r>
      <w:r w:rsidR="00772CD3">
        <w:t xml:space="preserve">de terhandstellingsverplichting ex art. 6:234 BW een groot toepassingsbereik heeft </w:t>
      </w:r>
      <w:r w:rsidR="009061DA">
        <w:t>verloren,</w:t>
      </w:r>
      <w:r w:rsidR="006433B9">
        <w:t xml:space="preserve"> mede door de oprekking van het begrip</w:t>
      </w:r>
      <w:r w:rsidR="00EC0A38">
        <w:t xml:space="preserve"> </w:t>
      </w:r>
      <w:r w:rsidR="00BD241C">
        <w:t>‘</w:t>
      </w:r>
      <w:r w:rsidR="00EC0A38">
        <w:t>dienstverrichter</w:t>
      </w:r>
      <w:r w:rsidR="00BD241C">
        <w:t>’ in de rechtspraak</w:t>
      </w:r>
      <w:r w:rsidR="00EC0A38">
        <w:t xml:space="preserve"> de laatste jaren. </w:t>
      </w:r>
      <w:r w:rsidR="00D671A6">
        <w:t>Om alle wederpartijen, dus ook degene</w:t>
      </w:r>
      <w:r w:rsidR="009061DA">
        <w:t>n</w:t>
      </w:r>
      <w:r w:rsidR="00D671A6">
        <w:t xml:space="preserve"> zonder internettoegang, toegang te </w:t>
      </w:r>
      <w:r w:rsidR="009061DA">
        <w:t>garanderen</w:t>
      </w:r>
      <w:r w:rsidR="00D671A6">
        <w:t xml:space="preserve"> tot de algemene voorwaarden wordt het voor </w:t>
      </w:r>
      <w:r w:rsidR="001300F8">
        <w:t>de wederpartijen mogelijk een niet digitale versie van de algemene voorwaarden op te vragen bij de gebruiker.</w:t>
      </w:r>
      <w:r w:rsidR="00FC11DB">
        <w:t xml:space="preserve"> </w:t>
      </w:r>
    </w:p>
    <w:p w14:paraId="5CF3CEAE" w14:textId="294CC813" w:rsidR="001122DF" w:rsidRDefault="0064475B" w:rsidP="00196BD8">
      <w:pPr>
        <w:jc w:val="both"/>
      </w:pPr>
      <w:r>
        <w:t>Bovendien</w:t>
      </w:r>
      <w:r w:rsidR="00FC11DB">
        <w:t xml:space="preserve"> moet</w:t>
      </w:r>
      <w:r w:rsidR="00415365">
        <w:t>en alle gebruikers van de algemene voorwaarden de wederpartij de mogelijkheid bieden om de algemene voorwaarden op te kunnen slaa</w:t>
      </w:r>
      <w:r>
        <w:t>n</w:t>
      </w:r>
      <w:r w:rsidR="004571E2">
        <w:t>;</w:t>
      </w:r>
      <w:r>
        <w:t xml:space="preserve"> </w:t>
      </w:r>
      <w:r w:rsidR="00CC575A">
        <w:t>een eis die voorheen alleen gold voor niet-dienstverrichters</w:t>
      </w:r>
      <w:r w:rsidR="00415365">
        <w:t>.</w:t>
      </w:r>
      <w:r w:rsidR="001122DF">
        <w:t xml:space="preserve"> Er geldt nu een in de wet geregelde sanctie voor alle gebruikers van de algemene voorwaarden, en de uitzondering op deze sanctie voor grote wederpartijen verdwijnt. </w:t>
      </w:r>
    </w:p>
    <w:p w14:paraId="1BCD5F9E" w14:textId="08D7383B" w:rsidR="002F2EFD" w:rsidRDefault="00CC575A" w:rsidP="00196BD8">
      <w:pPr>
        <w:jc w:val="both"/>
      </w:pPr>
      <w:r>
        <w:t xml:space="preserve">Kortom, </w:t>
      </w:r>
      <w:r w:rsidR="002F2EFD">
        <w:t xml:space="preserve">Met deze suggestie ontstaat er dus één </w:t>
      </w:r>
      <w:r w:rsidR="00653EE1">
        <w:t xml:space="preserve">rechtvaardige </w:t>
      </w:r>
      <w:r w:rsidR="002F2EFD">
        <w:t>regeling voor alle gebruikers</w:t>
      </w:r>
      <w:r w:rsidR="00653EE1">
        <w:t>, waarin geen onverklaarbare</w:t>
      </w:r>
      <w:r w:rsidR="002F2EFD">
        <w:t xml:space="preserve"> en onterechte verschillen </w:t>
      </w:r>
      <w:r w:rsidR="00653EE1">
        <w:t xml:space="preserve">bestaan </w:t>
      </w:r>
      <w:r w:rsidR="002F2EFD">
        <w:t xml:space="preserve">tussen </w:t>
      </w:r>
      <w:r w:rsidR="00653EE1">
        <w:t xml:space="preserve">dienstverrichters en niet-dienstverrichters. </w:t>
      </w:r>
    </w:p>
    <w:p w14:paraId="3EE47040" w14:textId="1BBBE870" w:rsidR="00A40260" w:rsidRDefault="00A40260" w:rsidP="00196BD8">
      <w:pPr>
        <w:pStyle w:val="Kop1"/>
        <w:numPr>
          <w:ilvl w:val="0"/>
          <w:numId w:val="26"/>
        </w:numPr>
        <w:jc w:val="both"/>
      </w:pPr>
      <w:bookmarkStart w:id="62" w:name="_Toc182382093"/>
      <w:bookmarkStart w:id="63" w:name="_Toc186375530"/>
      <w:r>
        <w:t>Conclusie</w:t>
      </w:r>
      <w:bookmarkEnd w:id="62"/>
      <w:bookmarkEnd w:id="63"/>
    </w:p>
    <w:p w14:paraId="1BCF8DA4" w14:textId="1772FC6F" w:rsidR="006655C0" w:rsidRDefault="006655C0" w:rsidP="00196BD8">
      <w:pPr>
        <w:jc w:val="both"/>
      </w:pPr>
      <w:r>
        <w:t>In deze scriptie is grondig onderzoek gedaan naar de terhandstelling van de (online) algemene voorwaar</w:t>
      </w:r>
      <w:r w:rsidR="003C3F34">
        <w:t xml:space="preserve">den. In het bijzonder </w:t>
      </w:r>
      <w:r w:rsidR="00E70437">
        <w:t xml:space="preserve">is gekeken naar de discrepantie tussen </w:t>
      </w:r>
      <w:r w:rsidR="009A4F45">
        <w:t xml:space="preserve">de artikelen 6:230c BW en 6:234 BW. </w:t>
      </w:r>
      <w:r w:rsidR="00312366">
        <w:t>Het is duidelijk geworden dat deze twee regelingen</w:t>
      </w:r>
      <w:r w:rsidR="00363493">
        <w:t xml:space="preserve"> aanzienlijke verwarring en praktische problemen met zich </w:t>
      </w:r>
      <w:r w:rsidR="002C4684">
        <w:t>meebrengen</w:t>
      </w:r>
      <w:r w:rsidR="00363493">
        <w:t>.</w:t>
      </w:r>
      <w:r w:rsidR="002C4684">
        <w:t xml:space="preserve"> De huidige regeling is, zoals treffend omschreven door Van Boom, “</w:t>
      </w:r>
      <w:r w:rsidR="002C4684" w:rsidRPr="00047EF7">
        <w:rPr>
          <w:i/>
          <w:iCs/>
        </w:rPr>
        <w:t>een onoverzichtelijke warboel van formalistische valkuilen</w:t>
      </w:r>
      <w:r w:rsidR="002C4684">
        <w:t xml:space="preserve">”. </w:t>
      </w:r>
      <w:r w:rsidR="009E01CB">
        <w:t xml:space="preserve"> Dit heeft negatieve gevolgen voor zowel de gebruikers van de algemene voorwaarden als de wederpartijen. </w:t>
      </w:r>
    </w:p>
    <w:p w14:paraId="7A4FE0CB" w14:textId="107365CB" w:rsidR="005740E6" w:rsidRDefault="000D1CBC" w:rsidP="00196BD8">
      <w:pPr>
        <w:jc w:val="both"/>
      </w:pPr>
      <w:r>
        <w:t>De</w:t>
      </w:r>
      <w:r w:rsidR="00A01FC7">
        <w:t xml:space="preserve"> strenge vereisten van art. 6:234 BW </w:t>
      </w:r>
      <w:r>
        <w:t>leggen</w:t>
      </w:r>
      <w:r w:rsidR="00A01FC7">
        <w:t xml:space="preserve"> de focus voor gebruikers van de algemene voorwaarden op het </w:t>
      </w:r>
      <w:r w:rsidR="00F36B4E">
        <w:t xml:space="preserve">voldoen </w:t>
      </w:r>
      <w:r w:rsidR="001F7343">
        <w:t>aan de</w:t>
      </w:r>
      <w:r w:rsidR="00A01FC7">
        <w:t xml:space="preserve"> informatieplicht </w:t>
      </w:r>
      <w:r w:rsidR="00962144">
        <w:t>in plaats van</w:t>
      </w:r>
      <w:r w:rsidR="00A01FC7">
        <w:t xml:space="preserve"> het daadwerkelijk </w:t>
      </w:r>
      <w:r w:rsidR="00F36B4E">
        <w:t>toegankelijk maken</w:t>
      </w:r>
      <w:r w:rsidR="00A01FC7">
        <w:t xml:space="preserve"> van de algemene voorwaarden.</w:t>
      </w:r>
      <w:r w:rsidR="001F7343">
        <w:t xml:space="preserve"> </w:t>
      </w:r>
      <w:r w:rsidR="005740E6">
        <w:t>In de praktijk blijken veel</w:t>
      </w:r>
      <w:r w:rsidR="0098233C">
        <w:t xml:space="preserve"> wederpartijen de </w:t>
      </w:r>
      <w:r w:rsidR="00EE5286">
        <w:t xml:space="preserve">algemene voorwaarden niet </w:t>
      </w:r>
      <w:r w:rsidR="00953527">
        <w:t xml:space="preserve">vaak </w:t>
      </w:r>
      <w:r w:rsidR="00EE5286">
        <w:t xml:space="preserve">te lezen, waardoor de focus op formele vereisten mijns inziens onnodig is. Het enige wat werkelijk van belang is, is dat de wederpartij de mogelijkheid </w:t>
      </w:r>
      <w:r w:rsidR="00D72931">
        <w:t>heeft</w:t>
      </w:r>
      <w:r w:rsidR="00EE5286">
        <w:t xml:space="preserve"> om gemakkelijk kennis te nemen van de algemene </w:t>
      </w:r>
      <w:r w:rsidR="00EE5286">
        <w:lastRenderedPageBreak/>
        <w:t>voorwaarden.</w:t>
      </w:r>
      <w:r w:rsidR="00D72931">
        <w:t xml:space="preserve"> </w:t>
      </w:r>
      <w:r w:rsidR="00FD565B">
        <w:t>Het toegankelijk maken van de algemene voorwaarden lijkt mij daarvoor voldoende</w:t>
      </w:r>
      <w:r w:rsidR="006A1E34">
        <w:t>.</w:t>
      </w:r>
    </w:p>
    <w:p w14:paraId="199F48FF" w14:textId="33560D12" w:rsidR="00FD565B" w:rsidRDefault="00C22E2D" w:rsidP="00196BD8">
      <w:pPr>
        <w:jc w:val="both"/>
      </w:pPr>
      <w:r>
        <w:t xml:space="preserve">Het is voor gebruikers van algemene voorwaarden </w:t>
      </w:r>
      <w:r w:rsidR="00A500C5">
        <w:t>ingewikkeld</w:t>
      </w:r>
      <w:r w:rsidR="00B0530E">
        <w:t xml:space="preserve"> </w:t>
      </w:r>
      <w:r>
        <w:t xml:space="preserve">om </w:t>
      </w:r>
      <w:r w:rsidR="00A720FF">
        <w:t>te bepalen van welke regeling zij gebruik moeten maken.</w:t>
      </w:r>
      <w:r w:rsidR="00641818">
        <w:t xml:space="preserve"> </w:t>
      </w:r>
      <w:r w:rsidR="004571E2">
        <w:t>Hierbij komt</w:t>
      </w:r>
      <w:r w:rsidR="00641818">
        <w:t xml:space="preserve"> ook nog eens kijken dat de regeling voor </w:t>
      </w:r>
      <w:r w:rsidR="00D20CEC">
        <w:t>niet-</w:t>
      </w:r>
      <w:r w:rsidR="00641818">
        <w:t xml:space="preserve">dienstverrichters </w:t>
      </w:r>
      <w:r w:rsidR="00D20CEC">
        <w:t>extra vereisten kent</w:t>
      </w:r>
      <w:r w:rsidR="002418A5">
        <w:t xml:space="preserve">, zonder dat hier </w:t>
      </w:r>
      <w:r w:rsidR="0056309B">
        <w:t>ooit</w:t>
      </w:r>
      <w:r w:rsidR="002418A5">
        <w:t xml:space="preserve"> een redelijke </w:t>
      </w:r>
      <w:r w:rsidR="00465321">
        <w:t>rechtvaardiging</w:t>
      </w:r>
      <w:r w:rsidR="002418A5">
        <w:t xml:space="preserve"> voor is</w:t>
      </w:r>
      <w:r w:rsidR="0056309B">
        <w:t xml:space="preserve"> gegeven</w:t>
      </w:r>
      <w:r w:rsidR="002418A5">
        <w:t>.</w:t>
      </w:r>
      <w:r w:rsidR="00A720FF">
        <w:t xml:space="preserve"> </w:t>
      </w:r>
      <w:r w:rsidR="008E3E3A">
        <w:t>De rechtspraak heeft</w:t>
      </w:r>
      <w:r w:rsidR="00B26286">
        <w:t xml:space="preserve"> </w:t>
      </w:r>
      <w:r w:rsidR="0077665E">
        <w:t>inmiddels</w:t>
      </w:r>
      <w:r w:rsidR="00641818">
        <w:t xml:space="preserve"> </w:t>
      </w:r>
      <w:r w:rsidR="008E3E3A">
        <w:t>bevestigd</w:t>
      </w:r>
      <w:r w:rsidR="00641818">
        <w:t xml:space="preserve"> dat ook </w:t>
      </w:r>
      <w:r w:rsidR="00551D41">
        <w:t>detail</w:t>
      </w:r>
      <w:r w:rsidR="004571E2">
        <w:t>-</w:t>
      </w:r>
      <w:r w:rsidR="00641818">
        <w:t xml:space="preserve"> en groothandel</w:t>
      </w:r>
      <w:r w:rsidR="004571E2">
        <w:t xml:space="preserve"> </w:t>
      </w:r>
      <w:r w:rsidR="00641818">
        <w:t>vallen onder het begrip dienstverrichters</w:t>
      </w:r>
      <w:r w:rsidR="00B86C9B">
        <w:t xml:space="preserve">, wat betekent dat </w:t>
      </w:r>
      <w:r w:rsidR="00126BD0">
        <w:t>zij onder de soepelere regeling van art. 6:230c BW</w:t>
      </w:r>
      <w:r w:rsidR="00B86C9B">
        <w:t xml:space="preserve"> vallen</w:t>
      </w:r>
      <w:r w:rsidR="00126BD0">
        <w:t>.</w:t>
      </w:r>
      <w:r w:rsidR="00FD565B">
        <w:t xml:space="preserve"> Het toepassingsbereik van art. 6:234 BW krimp hierdoor flink.</w:t>
      </w:r>
      <w:r w:rsidR="00126BD0">
        <w:t xml:space="preserve"> </w:t>
      </w:r>
    </w:p>
    <w:p w14:paraId="01AEC167" w14:textId="0A6FB17F" w:rsidR="00CD20B8" w:rsidRDefault="00C7761B" w:rsidP="00196BD8">
      <w:pPr>
        <w:jc w:val="both"/>
      </w:pPr>
      <w:r>
        <w:t xml:space="preserve">De </w:t>
      </w:r>
      <w:r w:rsidR="007B541A">
        <w:t>D</w:t>
      </w:r>
      <w:r>
        <w:t xml:space="preserve">ienstenrichtlijn zelf vraagt niet om dit onderscheid en ook in andere </w:t>
      </w:r>
      <w:r w:rsidR="00E9139F">
        <w:t>Europese</w:t>
      </w:r>
      <w:r>
        <w:t xml:space="preserve"> </w:t>
      </w:r>
      <w:r w:rsidR="00E9139F">
        <w:t>l</w:t>
      </w:r>
      <w:r>
        <w:t xml:space="preserve">anden wordt dit onderscheid niet zo strikt gehanteerd. Uit de rechtsvergelijking met België volgt dat er veel overeenkomsten zijn tussen de Nederlandse en de Belgische regeling van terhandstelling van online algemene voorwaarden. </w:t>
      </w:r>
      <w:r w:rsidR="001A76E0">
        <w:t xml:space="preserve">Het belangrijkste verschil is echter dat België geen strikt onderscheid kent tussen een regeling voor </w:t>
      </w:r>
      <w:r w:rsidR="00584E07">
        <w:t>dienstverrichters</w:t>
      </w:r>
      <w:r w:rsidR="001A76E0">
        <w:t xml:space="preserve"> en niet-d</w:t>
      </w:r>
      <w:r w:rsidR="00584E07">
        <w:t>ienstverrichters</w:t>
      </w:r>
      <w:r w:rsidR="001A76E0">
        <w:t>.</w:t>
      </w:r>
      <w:r w:rsidR="001E488C">
        <w:t xml:space="preserve"> </w:t>
      </w:r>
      <w:r w:rsidR="00FD565B">
        <w:t xml:space="preserve">Het toegankelijk maken van de algemene voorwaarden is in België voor alle gebruikers voldoende. </w:t>
      </w:r>
      <w:r w:rsidR="001E488C">
        <w:t xml:space="preserve">De rechtsvergelijking toont aan dat een uniforme regeling niet alleen mogelijk is, maar ook </w:t>
      </w:r>
      <w:r w:rsidR="00DE48E3">
        <w:t>een stuk functioneler.</w:t>
      </w:r>
      <w:r w:rsidR="000244AA">
        <w:t xml:space="preserve"> </w:t>
      </w:r>
      <w:r w:rsidR="00DE48E3">
        <w:t>Het leidt in de praktijk tot</w:t>
      </w:r>
      <w:r w:rsidR="000244AA">
        <w:t xml:space="preserve"> </w:t>
      </w:r>
      <w:r w:rsidR="008E23A6">
        <w:t>minder juridische conflicten en meer duidelijkheid</w:t>
      </w:r>
      <w:r w:rsidR="000244AA">
        <w:t xml:space="preserve">. </w:t>
      </w:r>
    </w:p>
    <w:p w14:paraId="6D91E2AA" w14:textId="7014B75C" w:rsidR="00D3225D" w:rsidRDefault="00206DA0" w:rsidP="00196BD8">
      <w:pPr>
        <w:jc w:val="both"/>
      </w:pPr>
      <w:r>
        <w:t xml:space="preserve">Wordt er wel een (juiste) keuze gemaakt voor </w:t>
      </w:r>
      <w:r w:rsidR="006D4FC3">
        <w:t>een van de regelingen</w:t>
      </w:r>
      <w:r w:rsidR="00D413E9">
        <w:t xml:space="preserve">, dan </w:t>
      </w:r>
      <w:r w:rsidR="004571E2">
        <w:t>bevatten</w:t>
      </w:r>
      <w:r w:rsidR="00D413E9">
        <w:t xml:space="preserve"> beide regelingen vervolgens nog </w:t>
      </w:r>
      <w:r w:rsidR="004571E2">
        <w:t>veel</w:t>
      </w:r>
      <w:r w:rsidR="00D413E9">
        <w:t xml:space="preserve"> </w:t>
      </w:r>
      <w:r w:rsidR="00C55688">
        <w:t>verwarrende knelpunten. Deze onduidelijkheden worden ook in de literatuur door verschillende auteurs beaamt</w:t>
      </w:r>
      <w:r w:rsidR="00D54C0C">
        <w:t xml:space="preserve">. </w:t>
      </w:r>
      <w:r w:rsidR="00973A25">
        <w:t xml:space="preserve">De regelingen </w:t>
      </w:r>
      <w:r w:rsidR="001F0F00">
        <w:t>zullen</w:t>
      </w:r>
      <w:r w:rsidR="00FD565B">
        <w:t xml:space="preserve"> </w:t>
      </w:r>
      <w:r w:rsidR="00973A25">
        <w:t>daarom moeten worden vervangen door één regeling die geldt voor zowel dienstverrichters als niet-dienstverrichters</w:t>
      </w:r>
      <w:r w:rsidR="00FD565B">
        <w:t>,</w:t>
      </w:r>
      <w:r w:rsidR="00CC332D">
        <w:t xml:space="preserve"> in art. 6:234 BW</w:t>
      </w:r>
      <w:r w:rsidR="00973A25">
        <w:t>.</w:t>
      </w:r>
      <w:r w:rsidR="00547F2D">
        <w:t xml:space="preserve"> Daarmee geldt art. 6:230c BW niet meer voor algemene voorwaarden.</w:t>
      </w:r>
      <w:r w:rsidR="00E80015">
        <w:t xml:space="preserve"> </w:t>
      </w:r>
      <w:r w:rsidR="002824C7">
        <w:t>Het</w:t>
      </w:r>
      <w:r w:rsidR="009E7D1D">
        <w:t xml:space="preserve"> doel van </w:t>
      </w:r>
      <w:r w:rsidR="00C7105F">
        <w:t xml:space="preserve">deze </w:t>
      </w:r>
      <w:r w:rsidR="00547F2D">
        <w:t xml:space="preserve">nieuwe </w:t>
      </w:r>
      <w:r w:rsidR="00C7105F">
        <w:t>regeling is het uniformeren en vereenvoudigen van de huidige regelgeving. Dit wordt onder andere gedaan door het schrappen van de verwijzing</w:t>
      </w:r>
      <w:r w:rsidR="001E2722">
        <w:t xml:space="preserve"> in art. 6:234 lid 1 BW naar art. 6:230c BW</w:t>
      </w:r>
      <w:r w:rsidR="00DA7DE7">
        <w:t xml:space="preserve"> en</w:t>
      </w:r>
      <w:r w:rsidR="00CC332D">
        <w:t xml:space="preserve"> het </w:t>
      </w:r>
      <w:r w:rsidR="00371198">
        <w:t>gelijkstellen van alle vereisten voor zowel dienstverrichters als niet-dienstverrichters</w:t>
      </w:r>
      <w:r w:rsidR="00DA7DE7">
        <w:t xml:space="preserve">. </w:t>
      </w:r>
    </w:p>
    <w:p w14:paraId="2304B6C2" w14:textId="47B703AD" w:rsidR="00547F2D" w:rsidRDefault="00DA7DE7" w:rsidP="00196BD8">
      <w:pPr>
        <w:jc w:val="both"/>
      </w:pPr>
      <w:r>
        <w:t xml:space="preserve">De </w:t>
      </w:r>
      <w:r w:rsidR="00F53A4A">
        <w:t xml:space="preserve">belangrijkste </w:t>
      </w:r>
      <w:r w:rsidR="005839D9">
        <w:t xml:space="preserve">aanpassing is dat </w:t>
      </w:r>
      <w:r w:rsidR="003E2D1E">
        <w:t xml:space="preserve">het </w:t>
      </w:r>
      <w:r w:rsidR="00CF589F">
        <w:t>nu voldoende is dat de algemene voorwaarden gemakkelijk toegankelijk worden gemaakt</w:t>
      </w:r>
      <w:r w:rsidR="002A35C3">
        <w:t xml:space="preserve">. </w:t>
      </w:r>
      <w:r w:rsidR="002A0493">
        <w:t xml:space="preserve">Dit kan al door een duidelijke verwijzing naar een overzichtelijke website. </w:t>
      </w:r>
      <w:r w:rsidR="00CF589F">
        <w:t xml:space="preserve">De voorwaarden daadwerkelijk verstrekken is niet meer </w:t>
      </w:r>
      <w:r w:rsidR="00C3502D">
        <w:t>verplicht</w:t>
      </w:r>
      <w:r w:rsidR="00CF589F">
        <w:t xml:space="preserve">. </w:t>
      </w:r>
      <w:r w:rsidR="002A3413">
        <w:t xml:space="preserve">Tevens </w:t>
      </w:r>
      <w:r w:rsidR="004571E2">
        <w:t>blijven</w:t>
      </w:r>
      <w:r w:rsidR="002A3413">
        <w:t xml:space="preserve"> het opslag- en </w:t>
      </w:r>
      <w:r w:rsidR="00B37072">
        <w:t>toegankelijkheidsvereiste voor</w:t>
      </w:r>
      <w:r w:rsidR="00820FCC">
        <w:t xml:space="preserve"> alle gebruikers </w:t>
      </w:r>
      <w:r w:rsidR="002A3413">
        <w:t>bestaan</w:t>
      </w:r>
      <w:r w:rsidR="004571E2">
        <w:t>. D</w:t>
      </w:r>
      <w:r w:rsidR="00820FCC">
        <w:t>it is in lijn met de</w:t>
      </w:r>
      <w:r w:rsidR="00A77625">
        <w:t xml:space="preserve"> Richtlijn inzake elektronische handel.</w:t>
      </w:r>
      <w:r w:rsidR="00170CC1">
        <w:t xml:space="preserve"> </w:t>
      </w:r>
      <w:r w:rsidR="00FD565B">
        <w:t>A</w:t>
      </w:r>
      <w:r w:rsidR="009E1C30">
        <w:t xml:space="preserve">rt. 6:234 lid 3 BW verdwijnt en bij </w:t>
      </w:r>
      <w:r w:rsidR="00337E72">
        <w:t xml:space="preserve">offlineovereenkomsten kunnen de </w:t>
      </w:r>
      <w:r w:rsidR="00626796">
        <w:t xml:space="preserve">algemene voorwaarden nu zonder uitdrukkelijke instemming op een website toegankelijk worden gemaakt. </w:t>
      </w:r>
      <w:r w:rsidR="003D07A4">
        <w:t xml:space="preserve">Willen </w:t>
      </w:r>
      <w:r w:rsidR="00FD565B">
        <w:t>wederpartijen</w:t>
      </w:r>
      <w:r w:rsidR="003D07A4">
        <w:t xml:space="preserve"> dit niet, dan kunnen zij zelf verzoeken om een papieren variant. Op deze wijze hebben alle wederpartijen, ongeacht hun toegang tot internet, de mogelijkheid om kennis te nemen van de algemene voorwaarden. </w:t>
      </w:r>
    </w:p>
    <w:p w14:paraId="4F4511BC" w14:textId="39D81472" w:rsidR="007A1CC8" w:rsidRDefault="007A1CC8" w:rsidP="00196BD8">
      <w:pPr>
        <w:jc w:val="both"/>
      </w:pPr>
      <w:r>
        <w:t>Met de suggestie</w:t>
      </w:r>
      <w:r w:rsidR="00CB2FF2">
        <w:t xml:space="preserve"> in hoofdstuk 6</w:t>
      </w:r>
      <w:r>
        <w:t xml:space="preserve"> beoogt deze scriptie de </w:t>
      </w:r>
      <w:r w:rsidR="00881E26">
        <w:t xml:space="preserve">problemen die voortvloeien uit de bestaande regelingen weg te nemen. </w:t>
      </w:r>
      <w:r w:rsidR="00CD2FC8">
        <w:t xml:space="preserve">De nieuwe </w:t>
      </w:r>
      <w:r w:rsidR="00255FBB">
        <w:t>regeling</w:t>
      </w:r>
      <w:r w:rsidR="00CD2FC8">
        <w:t xml:space="preserve"> </w:t>
      </w:r>
      <w:r w:rsidR="00C43ECD">
        <w:t>s</w:t>
      </w:r>
      <w:r w:rsidR="00CD2FC8">
        <w:t>telt namelijk</w:t>
      </w:r>
      <w:r w:rsidR="004B0BD0">
        <w:t xml:space="preserve"> ook</w:t>
      </w:r>
      <w:r w:rsidR="00CD2FC8">
        <w:t xml:space="preserve"> dat de </w:t>
      </w:r>
      <w:r w:rsidR="00CD2FC8">
        <w:lastRenderedPageBreak/>
        <w:t>algemene voorwaarden toegankelijk moeten zijn vóór of tijdens het sluiten van de overeenkomst.</w:t>
      </w:r>
      <w:r w:rsidR="00EB7AAF">
        <w:t xml:space="preserve"> Hierdoor </w:t>
      </w:r>
      <w:r w:rsidR="00C43ECD">
        <w:t>komt het tijdsvoordeel dat dienstverrichters voorheen hadden te vervallen.</w:t>
      </w:r>
      <w:r w:rsidR="00744EC5">
        <w:t xml:space="preserve"> Daarnaast zorgt de nieuwe regeling ervoor dat niet-naleving van de terhandstellingsplicht tot vernietigbaarheid van de algemene voorwaarden leidt voor alle gebruikers</w:t>
      </w:r>
      <w:r w:rsidR="00B4130F">
        <w:t>, dus ook grote wederpartijen.</w:t>
      </w:r>
    </w:p>
    <w:p w14:paraId="5ECD354E" w14:textId="4DA37A8B" w:rsidR="005E6F94" w:rsidRDefault="00241305" w:rsidP="00196BD8">
      <w:pPr>
        <w:spacing w:line="276" w:lineRule="auto"/>
        <w:jc w:val="both"/>
      </w:pPr>
      <w:r>
        <w:t xml:space="preserve">Het antwoord </w:t>
      </w:r>
      <w:r w:rsidR="0017265D">
        <w:t>op de onderzoeksvraag van deze scriptie</w:t>
      </w:r>
      <w:r w:rsidR="00FD2407">
        <w:t xml:space="preserve">: </w:t>
      </w:r>
      <w:r w:rsidR="00802554">
        <w:t>“</w:t>
      </w:r>
      <w:r w:rsidR="00FD2407" w:rsidRPr="00B04838">
        <w:rPr>
          <w:rFonts w:cs="Calibri"/>
        </w:rPr>
        <w:t xml:space="preserve">Wat is de </w:t>
      </w:r>
      <w:r w:rsidR="00FD2407">
        <w:rPr>
          <w:rFonts w:cs="Calibri"/>
        </w:rPr>
        <w:t xml:space="preserve">meerwaarde van het bestaan van zowel </w:t>
      </w:r>
      <w:r w:rsidR="00FD2407" w:rsidRPr="00B04838">
        <w:rPr>
          <w:rFonts w:cs="Calibri"/>
        </w:rPr>
        <w:t xml:space="preserve">artikel 6:234 BW </w:t>
      </w:r>
      <w:r w:rsidR="00FD2407">
        <w:rPr>
          <w:rFonts w:cs="Calibri"/>
        </w:rPr>
        <w:t>als</w:t>
      </w:r>
      <w:r w:rsidR="00FD2407" w:rsidRPr="00B04838">
        <w:rPr>
          <w:rFonts w:cs="Calibri"/>
        </w:rPr>
        <w:t xml:space="preserve"> artikel 6:230c BW</w:t>
      </w:r>
      <w:r w:rsidR="00FD2407">
        <w:rPr>
          <w:rFonts w:cs="Calibri"/>
        </w:rPr>
        <w:t xml:space="preserve"> voor terhandstelling van online algemene voorwaarden</w:t>
      </w:r>
      <w:r w:rsidR="00FD2407" w:rsidRPr="00B04838">
        <w:rPr>
          <w:rFonts w:cs="Calibri"/>
        </w:rPr>
        <w:t xml:space="preserve"> met het oog op </w:t>
      </w:r>
      <w:r w:rsidR="00FD2407">
        <w:rPr>
          <w:rFonts w:cs="Calibri"/>
        </w:rPr>
        <w:t xml:space="preserve">het onduidelijke </w:t>
      </w:r>
      <w:r w:rsidR="00FD2407" w:rsidRPr="00B04838">
        <w:rPr>
          <w:rFonts w:cs="Calibri"/>
        </w:rPr>
        <w:t>onderscheid tussen dienstverrichters en niet-dienstverrichters?</w:t>
      </w:r>
      <w:r w:rsidR="00802554">
        <w:rPr>
          <w:rFonts w:cs="Calibri"/>
        </w:rPr>
        <w:t>”</w:t>
      </w:r>
      <w:r>
        <w:rPr>
          <w:rFonts w:cs="Calibri"/>
        </w:rPr>
        <w:t xml:space="preserve"> is helder</w:t>
      </w:r>
      <w:r w:rsidR="00BA396E">
        <w:rPr>
          <w:rFonts w:cs="Calibri"/>
        </w:rPr>
        <w:t>:</w:t>
      </w:r>
      <w:r w:rsidR="0017265D">
        <w:t xml:space="preserve"> Er is geen meerwaarde voor het hebben van twee afzonderlijke regelingen. </w:t>
      </w:r>
      <w:r w:rsidR="00BA396E">
        <w:t>Het in stand houden van beide artikelen zorgt slechts voor verwarring</w:t>
      </w:r>
      <w:r w:rsidR="00302EF3">
        <w:t xml:space="preserve"> en juridische complicaties. </w:t>
      </w:r>
      <w:r w:rsidR="00F3226E">
        <w:t>Het is hoog tijd voor een nieuwe regeling</w:t>
      </w:r>
      <w:r w:rsidR="00362A09">
        <w:t xml:space="preserve">, zodat het proces van terhandstelling </w:t>
      </w:r>
      <w:r w:rsidR="00B1534F">
        <w:t>eenvoudiger, duidelijker en toegankelijker wordt voor iedereen.</w:t>
      </w:r>
    </w:p>
    <w:p w14:paraId="5C6016EF" w14:textId="77777777" w:rsidR="003D2EB0" w:rsidRDefault="003D2EB0" w:rsidP="00196BD8">
      <w:pPr>
        <w:spacing w:line="276" w:lineRule="auto"/>
        <w:jc w:val="both"/>
      </w:pPr>
    </w:p>
    <w:p w14:paraId="17B0C892" w14:textId="77777777" w:rsidR="003D2EB0" w:rsidRDefault="003D2EB0" w:rsidP="00196BD8">
      <w:pPr>
        <w:spacing w:line="276" w:lineRule="auto"/>
        <w:jc w:val="both"/>
      </w:pPr>
    </w:p>
    <w:p w14:paraId="1E0D8DB2" w14:textId="77777777" w:rsidR="003D2EB0" w:rsidRDefault="003D2EB0" w:rsidP="00196BD8">
      <w:pPr>
        <w:spacing w:line="276" w:lineRule="auto"/>
        <w:jc w:val="both"/>
      </w:pPr>
    </w:p>
    <w:p w14:paraId="59D5A0BA" w14:textId="77777777" w:rsidR="003D2EB0" w:rsidRDefault="003D2EB0" w:rsidP="00196BD8">
      <w:pPr>
        <w:spacing w:line="276" w:lineRule="auto"/>
        <w:jc w:val="both"/>
      </w:pPr>
    </w:p>
    <w:p w14:paraId="4A93CB1D" w14:textId="77777777" w:rsidR="003D2EB0" w:rsidRDefault="003D2EB0" w:rsidP="00196BD8">
      <w:pPr>
        <w:spacing w:line="276" w:lineRule="auto"/>
        <w:jc w:val="both"/>
      </w:pPr>
    </w:p>
    <w:p w14:paraId="484FB9C4" w14:textId="77777777" w:rsidR="003D2EB0" w:rsidRDefault="003D2EB0" w:rsidP="00196BD8">
      <w:pPr>
        <w:spacing w:line="276" w:lineRule="auto"/>
        <w:jc w:val="both"/>
      </w:pPr>
    </w:p>
    <w:p w14:paraId="6E008A34" w14:textId="77777777" w:rsidR="003D2EB0" w:rsidRDefault="003D2EB0" w:rsidP="00196BD8">
      <w:pPr>
        <w:spacing w:line="276" w:lineRule="auto"/>
        <w:jc w:val="both"/>
      </w:pPr>
    </w:p>
    <w:p w14:paraId="160075C9" w14:textId="77777777" w:rsidR="003D2EB0" w:rsidRDefault="003D2EB0" w:rsidP="00196BD8">
      <w:pPr>
        <w:spacing w:line="276" w:lineRule="auto"/>
        <w:jc w:val="both"/>
      </w:pPr>
    </w:p>
    <w:p w14:paraId="1440E860" w14:textId="77777777" w:rsidR="003D2EB0" w:rsidRDefault="003D2EB0" w:rsidP="00196BD8">
      <w:pPr>
        <w:spacing w:line="276" w:lineRule="auto"/>
        <w:jc w:val="both"/>
      </w:pPr>
    </w:p>
    <w:p w14:paraId="0634B18F" w14:textId="77777777" w:rsidR="003D2EB0" w:rsidRDefault="003D2EB0" w:rsidP="00196BD8">
      <w:pPr>
        <w:spacing w:line="276" w:lineRule="auto"/>
        <w:jc w:val="both"/>
      </w:pPr>
    </w:p>
    <w:p w14:paraId="5D3D3D6C" w14:textId="77777777" w:rsidR="0087116B" w:rsidRDefault="0087116B" w:rsidP="00196BD8">
      <w:pPr>
        <w:spacing w:line="276" w:lineRule="auto"/>
        <w:jc w:val="both"/>
      </w:pPr>
    </w:p>
    <w:p w14:paraId="327A3B41" w14:textId="77777777" w:rsidR="0087116B" w:rsidRDefault="0087116B" w:rsidP="00196BD8">
      <w:pPr>
        <w:spacing w:line="276" w:lineRule="auto"/>
        <w:jc w:val="both"/>
      </w:pPr>
    </w:p>
    <w:p w14:paraId="3024EEBF" w14:textId="77777777" w:rsidR="0087116B" w:rsidRDefault="0087116B" w:rsidP="00196BD8">
      <w:pPr>
        <w:spacing w:line="276" w:lineRule="auto"/>
        <w:jc w:val="both"/>
      </w:pPr>
    </w:p>
    <w:p w14:paraId="08C85080" w14:textId="77777777" w:rsidR="00C11008" w:rsidRDefault="00C11008" w:rsidP="00196BD8">
      <w:pPr>
        <w:spacing w:line="276" w:lineRule="auto"/>
        <w:jc w:val="both"/>
      </w:pPr>
    </w:p>
    <w:p w14:paraId="2ADFA5D8" w14:textId="77777777" w:rsidR="00C11008" w:rsidRDefault="00C11008" w:rsidP="00196BD8">
      <w:pPr>
        <w:spacing w:line="276" w:lineRule="auto"/>
        <w:jc w:val="both"/>
      </w:pPr>
    </w:p>
    <w:p w14:paraId="6C8D2D07" w14:textId="77777777" w:rsidR="003D2EB0" w:rsidRDefault="003D2EB0" w:rsidP="00196BD8">
      <w:pPr>
        <w:spacing w:line="276" w:lineRule="auto"/>
        <w:jc w:val="both"/>
      </w:pPr>
    </w:p>
    <w:p w14:paraId="370D1A64" w14:textId="56EB276E" w:rsidR="0092759A" w:rsidRPr="00B04838" w:rsidRDefault="0092759A" w:rsidP="00196BD8">
      <w:pPr>
        <w:pStyle w:val="Kop1"/>
        <w:spacing w:line="276" w:lineRule="auto"/>
        <w:jc w:val="both"/>
        <w:rPr>
          <w:rFonts w:asciiTheme="minorHAnsi" w:hAnsiTheme="minorHAnsi" w:cs="Calibri"/>
        </w:rPr>
      </w:pPr>
      <w:bookmarkStart w:id="64" w:name="_Toc182382094"/>
      <w:bookmarkStart w:id="65" w:name="_Toc186375531"/>
      <w:r w:rsidRPr="00B04838">
        <w:rPr>
          <w:rFonts w:asciiTheme="minorHAnsi" w:hAnsiTheme="minorHAnsi" w:cs="Calibri"/>
        </w:rPr>
        <w:lastRenderedPageBreak/>
        <w:t>Bronv</w:t>
      </w:r>
      <w:r w:rsidR="005E6F94">
        <w:rPr>
          <w:rFonts w:asciiTheme="minorHAnsi" w:hAnsiTheme="minorHAnsi" w:cs="Calibri"/>
        </w:rPr>
        <w:t>e</w:t>
      </w:r>
      <w:r w:rsidRPr="00B04838">
        <w:rPr>
          <w:rFonts w:asciiTheme="minorHAnsi" w:hAnsiTheme="minorHAnsi" w:cs="Calibri"/>
        </w:rPr>
        <w:t>rmelding</w:t>
      </w:r>
      <w:bookmarkEnd w:id="64"/>
      <w:bookmarkEnd w:id="65"/>
    </w:p>
    <w:p w14:paraId="63A38BBA" w14:textId="3C9E42F7" w:rsidR="007A73A6" w:rsidRPr="007A73A6" w:rsidRDefault="0092759A" w:rsidP="007A73A6">
      <w:pPr>
        <w:pStyle w:val="Kop2"/>
        <w:spacing w:line="276" w:lineRule="auto"/>
        <w:jc w:val="both"/>
        <w:rPr>
          <w:rFonts w:asciiTheme="minorHAnsi" w:hAnsiTheme="minorHAnsi" w:cs="Calibri"/>
        </w:rPr>
      </w:pPr>
      <w:bookmarkStart w:id="66" w:name="_Toc182382095"/>
      <w:bookmarkStart w:id="67" w:name="_Toc186375532"/>
      <w:r w:rsidRPr="00B04838">
        <w:rPr>
          <w:rFonts w:asciiTheme="minorHAnsi" w:hAnsiTheme="minorHAnsi" w:cs="Calibri"/>
        </w:rPr>
        <w:t>Literatuur</w:t>
      </w:r>
      <w:bookmarkEnd w:id="66"/>
      <w:bookmarkEnd w:id="67"/>
    </w:p>
    <w:p w14:paraId="57C92C99" w14:textId="4EA67958" w:rsidR="007C26E3" w:rsidRPr="007C26E3" w:rsidRDefault="007C26E3" w:rsidP="00196BD8">
      <w:pPr>
        <w:spacing w:after="0"/>
        <w:jc w:val="both"/>
        <w:rPr>
          <w:b/>
          <w:bCs/>
        </w:rPr>
      </w:pPr>
      <w:r w:rsidRPr="007C26E3">
        <w:rPr>
          <w:b/>
          <w:bCs/>
        </w:rPr>
        <w:t xml:space="preserve">Van </w:t>
      </w:r>
      <w:r w:rsidR="00E23D8F" w:rsidRPr="007C26E3">
        <w:rPr>
          <w:b/>
          <w:bCs/>
        </w:rPr>
        <w:t xml:space="preserve">Boom, </w:t>
      </w:r>
      <w:r w:rsidR="00E23D8F" w:rsidRPr="00B026AB">
        <w:rPr>
          <w:b/>
          <w:bCs/>
          <w:i/>
          <w:iCs/>
        </w:rPr>
        <w:t>AA</w:t>
      </w:r>
      <w:r w:rsidRPr="007C26E3">
        <w:rPr>
          <w:b/>
          <w:bCs/>
        </w:rPr>
        <w:t xml:space="preserve"> 2011.</w:t>
      </w:r>
    </w:p>
    <w:p w14:paraId="582FD06A" w14:textId="7A4BED7A" w:rsidR="009B674B" w:rsidRDefault="001C211A" w:rsidP="00196BD8">
      <w:pPr>
        <w:jc w:val="both"/>
      </w:pPr>
      <w:r>
        <w:t>W. H. van Boom, ‘De hand gelicht met de terhandstellingsplicht?’</w:t>
      </w:r>
      <w:r w:rsidR="00E26E12">
        <w:t>,</w:t>
      </w:r>
      <w:r w:rsidR="007C26E3">
        <w:t xml:space="preserve"> </w:t>
      </w:r>
      <w:r w:rsidR="007C26E3" w:rsidRPr="007C26E3">
        <w:rPr>
          <w:i/>
          <w:iCs/>
        </w:rPr>
        <w:t>AA</w:t>
      </w:r>
      <w:r w:rsidR="007C26E3">
        <w:t xml:space="preserve"> 2011.</w:t>
      </w:r>
    </w:p>
    <w:p w14:paraId="184486CA" w14:textId="3FCB7ACC" w:rsidR="00740C3F" w:rsidRPr="00740C3F" w:rsidRDefault="00740C3F" w:rsidP="00196BD8">
      <w:pPr>
        <w:spacing w:after="0"/>
        <w:jc w:val="both"/>
        <w:rPr>
          <w:b/>
          <w:bCs/>
        </w:rPr>
      </w:pPr>
      <w:r w:rsidRPr="00740C3F">
        <w:rPr>
          <w:b/>
          <w:bCs/>
        </w:rPr>
        <w:t xml:space="preserve">Busch, </w:t>
      </w:r>
      <w:r w:rsidRPr="00740C3F">
        <w:rPr>
          <w:b/>
          <w:bCs/>
          <w:i/>
          <w:iCs/>
        </w:rPr>
        <w:t>AA</w:t>
      </w:r>
      <w:r w:rsidRPr="00740C3F">
        <w:rPr>
          <w:b/>
          <w:bCs/>
        </w:rPr>
        <w:t xml:space="preserve"> 2024. </w:t>
      </w:r>
    </w:p>
    <w:p w14:paraId="6B22975E" w14:textId="4694CDED" w:rsidR="000D69B5" w:rsidRPr="009B674B" w:rsidRDefault="00AA3D5B" w:rsidP="00196BD8">
      <w:pPr>
        <w:jc w:val="both"/>
      </w:pPr>
      <w:r>
        <w:t>D. Busch, ‘</w:t>
      </w:r>
      <w:r w:rsidR="00663E9A">
        <w:t>Hoe transparant is het transparantievereiste</w:t>
      </w:r>
      <w:r w:rsidR="00B22513">
        <w:t xml:space="preserve"> </w:t>
      </w:r>
      <w:r w:rsidR="00B22513" w:rsidRPr="00B22513">
        <w:t>Hof van Justitie van de Europese Unie 20 april 2023, C-263/22, ECLI:EU:C:2023:311 (</w:t>
      </w:r>
      <w:r w:rsidR="00B22513" w:rsidRPr="00B22513">
        <w:rPr>
          <w:i/>
          <w:iCs/>
        </w:rPr>
        <w:t>Ocidental – Companhia Portuguesa de Seguros de Vida/LP</w:t>
      </w:r>
      <w:r w:rsidR="00B22513" w:rsidRPr="00B22513">
        <w:t>)</w:t>
      </w:r>
      <w:r w:rsidR="00D13B35">
        <w:t xml:space="preserve">’, </w:t>
      </w:r>
      <w:r w:rsidR="00D13B35" w:rsidRPr="00462A9B">
        <w:rPr>
          <w:i/>
          <w:iCs/>
        </w:rPr>
        <w:t>AA</w:t>
      </w:r>
      <w:r w:rsidR="005C0F18">
        <w:t xml:space="preserve"> 2024/5</w:t>
      </w:r>
      <w:r w:rsidR="009F335B">
        <w:t xml:space="preserve">. </w:t>
      </w:r>
    </w:p>
    <w:p w14:paraId="62AE577D" w14:textId="74FF9D8F" w:rsidR="00813A2E" w:rsidRPr="00813A2E" w:rsidRDefault="00813A2E" w:rsidP="00196BD8">
      <w:pPr>
        <w:spacing w:after="0" w:line="276" w:lineRule="auto"/>
        <w:jc w:val="both"/>
        <w:rPr>
          <w:b/>
          <w:bCs/>
        </w:rPr>
      </w:pPr>
      <w:r w:rsidRPr="00813A2E">
        <w:rPr>
          <w:b/>
          <w:bCs/>
        </w:rPr>
        <w:t xml:space="preserve">Cohen Tervaert </w:t>
      </w:r>
      <w:r w:rsidR="006768B9">
        <w:rPr>
          <w:b/>
          <w:bCs/>
        </w:rPr>
        <w:t>&amp;</w:t>
      </w:r>
      <w:r w:rsidRPr="00813A2E">
        <w:rPr>
          <w:b/>
          <w:bCs/>
        </w:rPr>
        <w:t xml:space="preserve"> Jongeneel, </w:t>
      </w:r>
      <w:r w:rsidRPr="00813A2E">
        <w:rPr>
          <w:b/>
          <w:bCs/>
          <w:i/>
          <w:iCs/>
        </w:rPr>
        <w:t>NJB</w:t>
      </w:r>
      <w:r w:rsidRPr="00813A2E">
        <w:rPr>
          <w:b/>
          <w:bCs/>
        </w:rPr>
        <w:t xml:space="preserve"> 2003.</w:t>
      </w:r>
    </w:p>
    <w:p w14:paraId="6039AB34" w14:textId="2463FEA3" w:rsidR="00687306" w:rsidRPr="009615C6" w:rsidRDefault="009615C6" w:rsidP="00196BD8">
      <w:pPr>
        <w:spacing w:line="276" w:lineRule="auto"/>
        <w:jc w:val="both"/>
      </w:pPr>
      <w:r>
        <w:t>D.J.</w:t>
      </w:r>
      <w:r w:rsidRPr="009615C6">
        <w:t xml:space="preserve"> Cohen Ter</w:t>
      </w:r>
      <w:r>
        <w:t xml:space="preserve">vaert en. </w:t>
      </w:r>
      <w:r w:rsidR="00813A2E">
        <w:t xml:space="preserve">R.H.C. Jongeneel, ‘Naschrift’, </w:t>
      </w:r>
      <w:r w:rsidR="00813A2E" w:rsidRPr="00813A2E">
        <w:rPr>
          <w:i/>
          <w:iCs/>
        </w:rPr>
        <w:t>NJB</w:t>
      </w:r>
      <w:r w:rsidR="00813A2E">
        <w:t xml:space="preserve"> 2003/7.</w:t>
      </w:r>
    </w:p>
    <w:p w14:paraId="602205C2" w14:textId="77777777" w:rsidR="0092759A" w:rsidRPr="00BE686C" w:rsidRDefault="0092759A" w:rsidP="00196BD8">
      <w:pPr>
        <w:spacing w:after="0" w:line="276" w:lineRule="auto"/>
        <w:jc w:val="both"/>
        <w:rPr>
          <w:b/>
          <w:bCs/>
          <w:color w:val="0D0D0D" w:themeColor="text1" w:themeTint="F2"/>
        </w:rPr>
      </w:pPr>
      <w:r w:rsidRPr="00BE686C">
        <w:rPr>
          <w:b/>
          <w:bCs/>
          <w:color w:val="0D0D0D" w:themeColor="text1" w:themeTint="F2"/>
        </w:rPr>
        <w:t xml:space="preserve">Drion, </w:t>
      </w:r>
      <w:r w:rsidRPr="00BE686C">
        <w:rPr>
          <w:b/>
          <w:bCs/>
          <w:i/>
          <w:iCs/>
          <w:color w:val="0D0D0D" w:themeColor="text1" w:themeTint="F2"/>
        </w:rPr>
        <w:t>NJB</w:t>
      </w:r>
      <w:r w:rsidRPr="00BE686C">
        <w:rPr>
          <w:b/>
          <w:bCs/>
          <w:color w:val="0D0D0D" w:themeColor="text1" w:themeTint="F2"/>
        </w:rPr>
        <w:t xml:space="preserve"> 2010. </w:t>
      </w:r>
    </w:p>
    <w:p w14:paraId="1443C689" w14:textId="77777777" w:rsidR="0092759A" w:rsidRDefault="0092759A" w:rsidP="00196BD8">
      <w:pPr>
        <w:spacing w:line="276" w:lineRule="auto"/>
        <w:jc w:val="both"/>
        <w:rPr>
          <w:color w:val="0D0D0D" w:themeColor="text1" w:themeTint="F2"/>
        </w:rPr>
      </w:pPr>
      <w:r w:rsidRPr="00280CB6">
        <w:rPr>
          <w:color w:val="0D0D0D" w:themeColor="text1" w:themeTint="F2"/>
        </w:rPr>
        <w:t xml:space="preserve">C.E. Drion, ‘Dwaallicht’, </w:t>
      </w:r>
      <w:r w:rsidRPr="000D64F8">
        <w:rPr>
          <w:i/>
          <w:iCs/>
          <w:color w:val="0D0D0D" w:themeColor="text1" w:themeTint="F2"/>
        </w:rPr>
        <w:t>NJB</w:t>
      </w:r>
      <w:r w:rsidRPr="00280CB6">
        <w:rPr>
          <w:color w:val="0D0D0D" w:themeColor="text1" w:themeTint="F2"/>
        </w:rPr>
        <w:t xml:space="preserve"> 2010/36</w:t>
      </w:r>
      <w:r>
        <w:rPr>
          <w:color w:val="0D0D0D" w:themeColor="text1" w:themeTint="F2"/>
        </w:rPr>
        <w:t>.</w:t>
      </w:r>
    </w:p>
    <w:p w14:paraId="061B9A09" w14:textId="5C918CB3" w:rsidR="008A4B25" w:rsidRPr="008A4B25" w:rsidRDefault="008A4B25" w:rsidP="00196BD8">
      <w:pPr>
        <w:spacing w:after="0" w:line="276" w:lineRule="auto"/>
        <w:jc w:val="both"/>
        <w:rPr>
          <w:b/>
          <w:bCs/>
          <w:color w:val="0D0D0D" w:themeColor="text1" w:themeTint="F2"/>
        </w:rPr>
      </w:pPr>
      <w:r w:rsidRPr="008A4B25">
        <w:rPr>
          <w:b/>
          <w:bCs/>
          <w:color w:val="0D0D0D" w:themeColor="text1" w:themeTint="F2"/>
        </w:rPr>
        <w:t xml:space="preserve">Drion, </w:t>
      </w:r>
      <w:r w:rsidRPr="006768B9">
        <w:rPr>
          <w:b/>
          <w:bCs/>
          <w:i/>
          <w:iCs/>
          <w:color w:val="0D0D0D" w:themeColor="text1" w:themeTint="F2"/>
        </w:rPr>
        <w:t>NJB</w:t>
      </w:r>
      <w:r w:rsidRPr="008A4B25">
        <w:rPr>
          <w:b/>
          <w:bCs/>
          <w:color w:val="0D0D0D" w:themeColor="text1" w:themeTint="F2"/>
        </w:rPr>
        <w:t xml:space="preserve"> 2018.</w:t>
      </w:r>
    </w:p>
    <w:p w14:paraId="0CD927A4" w14:textId="7DBD1E1C" w:rsidR="00434B33" w:rsidRDefault="008A4B25" w:rsidP="00196BD8">
      <w:pPr>
        <w:spacing w:line="276" w:lineRule="auto"/>
        <w:jc w:val="both"/>
        <w:rPr>
          <w:color w:val="0D0D0D" w:themeColor="text1" w:themeTint="F2"/>
        </w:rPr>
      </w:pPr>
      <w:r>
        <w:rPr>
          <w:color w:val="0D0D0D" w:themeColor="text1" w:themeTint="F2"/>
        </w:rPr>
        <w:t xml:space="preserve">C.E. Drion, ‘Detailhandel is een dienst, een beslissing met verrassende consequenties’, </w:t>
      </w:r>
      <w:r w:rsidRPr="008A4B25">
        <w:rPr>
          <w:i/>
          <w:iCs/>
          <w:color w:val="0D0D0D" w:themeColor="text1" w:themeTint="F2"/>
        </w:rPr>
        <w:t>NJB</w:t>
      </w:r>
      <w:r>
        <w:rPr>
          <w:color w:val="0D0D0D" w:themeColor="text1" w:themeTint="F2"/>
        </w:rPr>
        <w:t xml:space="preserve"> 2018/300.</w:t>
      </w:r>
    </w:p>
    <w:p w14:paraId="7D6BCDAA" w14:textId="1820A4EE" w:rsidR="00876097" w:rsidRPr="00EB186A" w:rsidRDefault="00876097" w:rsidP="00196BD8">
      <w:pPr>
        <w:spacing w:after="0" w:line="276" w:lineRule="auto"/>
        <w:jc w:val="both"/>
        <w:rPr>
          <w:b/>
          <w:bCs/>
          <w:color w:val="0D0D0D" w:themeColor="text1" w:themeTint="F2"/>
        </w:rPr>
      </w:pPr>
      <w:r w:rsidRPr="00EB186A">
        <w:rPr>
          <w:b/>
          <w:bCs/>
          <w:color w:val="0D0D0D" w:themeColor="text1" w:themeTint="F2"/>
        </w:rPr>
        <w:t xml:space="preserve">Van Esch &amp; Bramer, </w:t>
      </w:r>
      <w:r w:rsidRPr="00EB186A">
        <w:rPr>
          <w:b/>
          <w:bCs/>
          <w:i/>
          <w:iCs/>
          <w:color w:val="0D0D0D" w:themeColor="text1" w:themeTint="F2"/>
        </w:rPr>
        <w:t>Computerrecht</w:t>
      </w:r>
      <w:r w:rsidRPr="00EB186A">
        <w:rPr>
          <w:b/>
          <w:bCs/>
          <w:color w:val="0D0D0D" w:themeColor="text1" w:themeTint="F2"/>
        </w:rPr>
        <w:t xml:space="preserve"> 2000.</w:t>
      </w:r>
    </w:p>
    <w:p w14:paraId="7AE6CE5D" w14:textId="3AE8E067" w:rsidR="005B3639" w:rsidRDefault="009F698D" w:rsidP="00196BD8">
      <w:pPr>
        <w:spacing w:line="276" w:lineRule="auto"/>
        <w:jc w:val="both"/>
        <w:rPr>
          <w:color w:val="0D0D0D" w:themeColor="text1" w:themeTint="F2"/>
        </w:rPr>
      </w:pPr>
      <w:r>
        <w:rPr>
          <w:color w:val="0D0D0D" w:themeColor="text1" w:themeTint="F2"/>
        </w:rPr>
        <w:t>R.E. van Esch</w:t>
      </w:r>
      <w:r w:rsidR="00481858">
        <w:rPr>
          <w:color w:val="0D0D0D" w:themeColor="text1" w:themeTint="F2"/>
        </w:rPr>
        <w:t xml:space="preserve"> en Chr. P.G. Bramer, ‘Algemene voorwaarden en informatieplicht in cyberspace’, </w:t>
      </w:r>
      <w:r w:rsidR="00876097" w:rsidRPr="00876097">
        <w:rPr>
          <w:i/>
          <w:iCs/>
          <w:color w:val="0D0D0D" w:themeColor="text1" w:themeTint="F2"/>
        </w:rPr>
        <w:t>Computerrecht</w:t>
      </w:r>
      <w:r w:rsidR="00876097">
        <w:rPr>
          <w:color w:val="0D0D0D" w:themeColor="text1" w:themeTint="F2"/>
        </w:rPr>
        <w:t xml:space="preserve"> 2000/6.</w:t>
      </w:r>
    </w:p>
    <w:p w14:paraId="07242E32" w14:textId="1D54402C" w:rsidR="0092759A" w:rsidRPr="00513845" w:rsidRDefault="0092759A" w:rsidP="00196BD8">
      <w:pPr>
        <w:spacing w:after="0" w:line="276" w:lineRule="auto"/>
        <w:jc w:val="both"/>
        <w:rPr>
          <w:b/>
          <w:bCs/>
          <w:color w:val="0D0D0D" w:themeColor="text1" w:themeTint="F2"/>
        </w:rPr>
      </w:pPr>
      <w:r w:rsidRPr="0000656B">
        <w:rPr>
          <w:b/>
          <w:bCs/>
          <w:color w:val="000000"/>
          <w14:textFill>
            <w14:solidFill>
              <w14:srgbClr w14:val="000000">
                <w14:lumMod w14:val="95000"/>
                <w14:lumOff w14:val="5000"/>
              </w14:srgbClr>
            </w14:solidFill>
          </w14:textFill>
        </w:rPr>
        <w:t xml:space="preserve">De Graaf, </w:t>
      </w:r>
      <w:r w:rsidRPr="0000656B">
        <w:rPr>
          <w:b/>
          <w:bCs/>
          <w:i/>
          <w:iCs/>
          <w:color w:val="000000"/>
          <w14:textFill>
            <w14:solidFill>
              <w14:srgbClr w14:val="000000">
                <w14:lumMod w14:val="95000"/>
                <w14:lumOff w14:val="5000"/>
              </w14:srgbClr>
            </w14:solidFill>
          </w14:textFill>
        </w:rPr>
        <w:t>NTBR</w:t>
      </w:r>
      <w:r w:rsidRPr="0000656B">
        <w:rPr>
          <w:b/>
          <w:bCs/>
          <w:color w:val="000000"/>
          <w14:textFill>
            <w14:solidFill>
              <w14:srgbClr w14:val="000000">
                <w14:lumMod w14:val="95000"/>
                <w14:lumOff w14:val="5000"/>
              </w14:srgbClr>
            </w14:solidFill>
          </w14:textFill>
        </w:rPr>
        <w:t xml:space="preserve"> 2018.</w:t>
      </w:r>
    </w:p>
    <w:p w14:paraId="3F33F7C3" w14:textId="5A6D4EBA" w:rsidR="008B3B31" w:rsidRPr="0044392C" w:rsidRDefault="0092759A" w:rsidP="00196BD8">
      <w:pPr>
        <w:spacing w:line="276" w:lineRule="auto"/>
        <w:jc w:val="both"/>
        <w:rPr>
          <w:rFonts w:cs="Arial"/>
          <w:shd w:val="clear" w:color="auto" w:fill="FFFFFF"/>
        </w:rPr>
      </w:pPr>
      <w:r w:rsidRPr="000D5F25">
        <w:rPr>
          <w:rFonts w:cs="Arial"/>
          <w:shd w:val="clear" w:color="auto" w:fill="FFFFFF"/>
        </w:rPr>
        <w:t xml:space="preserve">T.J. de Graaf, </w:t>
      </w:r>
      <w:r>
        <w:rPr>
          <w:rFonts w:cs="Arial"/>
          <w:shd w:val="clear" w:color="auto" w:fill="FFFFFF"/>
        </w:rPr>
        <w:t>‘</w:t>
      </w:r>
      <w:r w:rsidRPr="000D5F25">
        <w:rPr>
          <w:rFonts w:cs="Arial"/>
          <w:shd w:val="clear" w:color="auto" w:fill="FFFFFF"/>
        </w:rPr>
        <w:t xml:space="preserve">Naar een coherente(re) implementatie van de informatieplichten met betrekking tot (algemene) voorwaarden voortvloeiend uit de e-commerce-richtlijn en </w:t>
      </w:r>
      <w:r w:rsidR="004F2E0E">
        <w:rPr>
          <w:rFonts w:cs="Arial"/>
          <w:shd w:val="clear" w:color="auto" w:fill="FFFFFF"/>
        </w:rPr>
        <w:t>D</w:t>
      </w:r>
      <w:r w:rsidRPr="0044392C">
        <w:rPr>
          <w:rFonts w:cs="Arial"/>
          <w:shd w:val="clear" w:color="auto" w:fill="FFFFFF"/>
        </w:rPr>
        <w:t xml:space="preserve">ienstenrichtlijn’, </w:t>
      </w:r>
      <w:r w:rsidRPr="0044392C">
        <w:rPr>
          <w:rFonts w:cs="Arial"/>
          <w:i/>
          <w:iCs/>
          <w:shd w:val="clear" w:color="auto" w:fill="FFFFFF"/>
        </w:rPr>
        <w:t>NTBR</w:t>
      </w:r>
      <w:r w:rsidRPr="0044392C">
        <w:rPr>
          <w:rFonts w:cs="Arial"/>
          <w:shd w:val="clear" w:color="auto" w:fill="FFFFFF"/>
        </w:rPr>
        <w:t xml:space="preserve"> 2018/24.</w:t>
      </w:r>
    </w:p>
    <w:p w14:paraId="60E245C1" w14:textId="746A239D" w:rsidR="008A58EF" w:rsidRPr="0044392C" w:rsidRDefault="00A942F4" w:rsidP="00196BD8">
      <w:pPr>
        <w:spacing w:after="0" w:line="276" w:lineRule="auto"/>
        <w:jc w:val="both"/>
        <w:rPr>
          <w:rFonts w:cs="Arial"/>
          <w:b/>
          <w:bCs/>
          <w:shd w:val="clear" w:color="auto" w:fill="FFFFFF"/>
        </w:rPr>
      </w:pPr>
      <w:r w:rsidRPr="0044392C">
        <w:rPr>
          <w:rFonts w:cs="Arial"/>
          <w:b/>
          <w:bCs/>
          <w:shd w:val="clear" w:color="auto" w:fill="FFFFFF"/>
        </w:rPr>
        <w:t>Hijma</w:t>
      </w:r>
      <w:r w:rsidR="008E1A3C" w:rsidRPr="0044392C">
        <w:rPr>
          <w:rFonts w:cs="Arial"/>
          <w:b/>
          <w:bCs/>
          <w:shd w:val="clear" w:color="auto" w:fill="FFFFFF"/>
        </w:rPr>
        <w:t xml:space="preserve"> </w:t>
      </w:r>
      <w:r w:rsidR="00020862" w:rsidRPr="0044392C">
        <w:rPr>
          <w:rFonts w:cs="Arial"/>
          <w:b/>
          <w:bCs/>
          <w:shd w:val="clear" w:color="auto" w:fill="FFFFFF"/>
        </w:rPr>
        <w:t>2016.</w:t>
      </w:r>
    </w:p>
    <w:p w14:paraId="0E82C014" w14:textId="01F89A71" w:rsidR="00FE50C6" w:rsidRDefault="00556EA9" w:rsidP="00196BD8">
      <w:pPr>
        <w:spacing w:line="276" w:lineRule="auto"/>
        <w:jc w:val="both"/>
        <w:rPr>
          <w:rFonts w:cs="Arial"/>
          <w:shd w:val="clear" w:color="auto" w:fill="FFFFFF"/>
        </w:rPr>
      </w:pPr>
      <w:r w:rsidRPr="0044392C">
        <w:rPr>
          <w:rFonts w:cs="Arial"/>
          <w:shd w:val="clear" w:color="auto" w:fill="FFFFFF"/>
        </w:rPr>
        <w:t>J. Hijma,</w:t>
      </w:r>
      <w:r w:rsidR="006F0426" w:rsidRPr="0044392C">
        <w:rPr>
          <w:rFonts w:cs="Arial"/>
          <w:shd w:val="clear" w:color="auto" w:fill="FFFFFF"/>
        </w:rPr>
        <w:t xml:space="preserve"> </w:t>
      </w:r>
      <w:r w:rsidR="006F0426" w:rsidRPr="0044392C">
        <w:rPr>
          <w:rFonts w:cs="Arial"/>
          <w:i/>
          <w:iCs/>
          <w:shd w:val="clear" w:color="auto" w:fill="FFFFFF"/>
        </w:rPr>
        <w:t>Algemene voorwaarden</w:t>
      </w:r>
      <w:r w:rsidR="00AF32AE" w:rsidRPr="0044392C">
        <w:rPr>
          <w:rFonts w:cs="Arial"/>
          <w:i/>
          <w:iCs/>
          <w:shd w:val="clear" w:color="auto" w:fill="FFFFFF"/>
        </w:rPr>
        <w:t xml:space="preserve"> (</w:t>
      </w:r>
      <w:r w:rsidR="00AA4CB0" w:rsidRPr="0044392C">
        <w:rPr>
          <w:rFonts w:cs="Arial"/>
          <w:i/>
          <w:iCs/>
          <w:shd w:val="clear" w:color="auto" w:fill="FFFFFF"/>
        </w:rPr>
        <w:t>Monografieën</w:t>
      </w:r>
      <w:r w:rsidR="00AF32AE" w:rsidRPr="0044392C">
        <w:rPr>
          <w:rFonts w:cs="Arial"/>
          <w:i/>
          <w:iCs/>
          <w:shd w:val="clear" w:color="auto" w:fill="FFFFFF"/>
        </w:rPr>
        <w:t xml:space="preserve"> BW nr. B55</w:t>
      </w:r>
      <w:r w:rsidR="00AF32AE" w:rsidRPr="0044392C">
        <w:rPr>
          <w:rFonts w:cs="Arial"/>
          <w:shd w:val="clear" w:color="auto" w:fill="FFFFFF"/>
        </w:rPr>
        <w:t>)</w:t>
      </w:r>
      <w:r w:rsidR="006F0426" w:rsidRPr="0044392C">
        <w:rPr>
          <w:rFonts w:cs="Arial"/>
          <w:shd w:val="clear" w:color="auto" w:fill="FFFFFF"/>
        </w:rPr>
        <w:t xml:space="preserve">, Deventer: </w:t>
      </w:r>
      <w:r w:rsidR="00AF32AE" w:rsidRPr="0044392C">
        <w:rPr>
          <w:rFonts w:cs="Arial"/>
          <w:shd w:val="clear" w:color="auto" w:fill="FFFFFF"/>
        </w:rPr>
        <w:t xml:space="preserve">Wolters Kluwer </w:t>
      </w:r>
      <w:r w:rsidR="00B410AB" w:rsidRPr="0044392C">
        <w:rPr>
          <w:rFonts w:cs="Arial"/>
          <w:shd w:val="clear" w:color="auto" w:fill="FFFFFF"/>
        </w:rPr>
        <w:t xml:space="preserve">2016. </w:t>
      </w:r>
    </w:p>
    <w:p w14:paraId="63725329" w14:textId="3986A44D" w:rsidR="00334FA9" w:rsidRPr="00334FA9" w:rsidRDefault="00334FA9" w:rsidP="00196BD8">
      <w:pPr>
        <w:spacing w:after="0" w:line="276" w:lineRule="auto"/>
        <w:jc w:val="both"/>
        <w:rPr>
          <w:rFonts w:cs="Arial"/>
          <w:b/>
          <w:bCs/>
          <w:shd w:val="clear" w:color="auto" w:fill="FFFFFF"/>
        </w:rPr>
      </w:pPr>
      <w:r w:rsidRPr="00334FA9">
        <w:rPr>
          <w:rFonts w:cs="Arial"/>
          <w:b/>
          <w:bCs/>
          <w:shd w:val="clear" w:color="auto" w:fill="FFFFFF"/>
        </w:rPr>
        <w:t xml:space="preserve">Mölenberg 1995. </w:t>
      </w:r>
    </w:p>
    <w:p w14:paraId="7355364D" w14:textId="3F560E60" w:rsidR="00FE50C6" w:rsidRDefault="00FE50C6" w:rsidP="00196BD8">
      <w:pPr>
        <w:spacing w:line="276" w:lineRule="auto"/>
        <w:jc w:val="both"/>
        <w:rPr>
          <w:rFonts w:cs="Arial"/>
          <w:shd w:val="clear" w:color="auto" w:fill="FFFFFF"/>
        </w:rPr>
      </w:pPr>
      <w:r>
        <w:rPr>
          <w:rFonts w:cs="Arial"/>
          <w:shd w:val="clear" w:color="auto" w:fill="FFFFFF"/>
        </w:rPr>
        <w:t xml:space="preserve">L.J.H. Mölenberg, </w:t>
      </w:r>
      <w:r w:rsidR="00992630" w:rsidRPr="00992630">
        <w:rPr>
          <w:rFonts w:cs="Arial"/>
          <w:i/>
          <w:iCs/>
          <w:shd w:val="clear" w:color="auto" w:fill="FFFFFF"/>
        </w:rPr>
        <w:t>H</w:t>
      </w:r>
      <w:r w:rsidRPr="00992630">
        <w:rPr>
          <w:rFonts w:cs="Arial"/>
          <w:i/>
          <w:iCs/>
          <w:shd w:val="clear" w:color="auto" w:fill="FFFFFF"/>
        </w:rPr>
        <w:t xml:space="preserve">et collectief actierecht </w:t>
      </w:r>
      <w:r w:rsidR="00992630" w:rsidRPr="00992630">
        <w:rPr>
          <w:rFonts w:cs="Arial"/>
          <w:i/>
          <w:iCs/>
          <w:shd w:val="clear" w:color="auto" w:fill="FFFFFF"/>
        </w:rPr>
        <w:t>voor consumentenorganisaties op het terrein van algemene voorwaarden</w:t>
      </w:r>
      <w:r w:rsidR="00992630">
        <w:rPr>
          <w:rFonts w:cs="Arial"/>
          <w:shd w:val="clear" w:color="auto" w:fill="FFFFFF"/>
        </w:rPr>
        <w:t>, Arnhem: Gouda Quint 1995.</w:t>
      </w:r>
    </w:p>
    <w:p w14:paraId="5663B5C3" w14:textId="599F6E47" w:rsidR="00591D2E" w:rsidRPr="00693269" w:rsidRDefault="00591D2E" w:rsidP="00196BD8">
      <w:pPr>
        <w:spacing w:after="0" w:line="276" w:lineRule="auto"/>
        <w:jc w:val="both"/>
        <w:rPr>
          <w:rFonts w:cs="Arial"/>
          <w:b/>
          <w:bCs/>
          <w:shd w:val="clear" w:color="auto" w:fill="FFFFFF"/>
        </w:rPr>
      </w:pPr>
      <w:r w:rsidRPr="00693269">
        <w:rPr>
          <w:rFonts w:cs="Arial"/>
          <w:b/>
          <w:bCs/>
          <w:shd w:val="clear" w:color="auto" w:fill="FFFFFF"/>
        </w:rPr>
        <w:t xml:space="preserve">Langbroek, </w:t>
      </w:r>
      <w:r w:rsidRPr="00693269">
        <w:rPr>
          <w:rFonts w:cs="Arial"/>
          <w:b/>
          <w:bCs/>
          <w:i/>
          <w:iCs/>
          <w:shd w:val="clear" w:color="auto" w:fill="FFFFFF"/>
        </w:rPr>
        <w:t>TOR</w:t>
      </w:r>
      <w:r w:rsidRPr="00693269">
        <w:rPr>
          <w:rFonts w:cs="Arial"/>
          <w:b/>
          <w:bCs/>
          <w:shd w:val="clear" w:color="auto" w:fill="FFFFFF"/>
        </w:rPr>
        <w:t xml:space="preserve"> 2011.</w:t>
      </w:r>
    </w:p>
    <w:p w14:paraId="172B36A9" w14:textId="4B43048B" w:rsidR="00591D2E" w:rsidRDefault="006E327A" w:rsidP="00196BD8">
      <w:pPr>
        <w:spacing w:line="276" w:lineRule="auto"/>
        <w:jc w:val="both"/>
        <w:rPr>
          <w:rFonts w:cs="Arial"/>
          <w:shd w:val="clear" w:color="auto" w:fill="FFFFFF"/>
        </w:rPr>
      </w:pPr>
      <w:r>
        <w:rPr>
          <w:rFonts w:cs="Arial"/>
          <w:shd w:val="clear" w:color="auto" w:fill="FFFFFF"/>
        </w:rPr>
        <w:t xml:space="preserve">H.J.S.M. Langbroek, </w:t>
      </w:r>
      <w:r w:rsidR="007C20BA">
        <w:rPr>
          <w:rFonts w:cs="Arial"/>
          <w:shd w:val="clear" w:color="auto" w:fill="FFFFFF"/>
        </w:rPr>
        <w:t xml:space="preserve">‘Het bieden van een redelijke mogelijkheid om kennis te nemen </w:t>
      </w:r>
      <w:r w:rsidR="00693269">
        <w:rPr>
          <w:rFonts w:cs="Arial"/>
          <w:shd w:val="clear" w:color="auto" w:fill="FFFFFF"/>
        </w:rPr>
        <w:t xml:space="preserve">van algemene voorwaarden: de laatste stand van zaken’, </w:t>
      </w:r>
      <w:r w:rsidR="00693269" w:rsidRPr="00693269">
        <w:rPr>
          <w:rFonts w:cs="Arial"/>
          <w:i/>
          <w:iCs/>
          <w:shd w:val="clear" w:color="auto" w:fill="FFFFFF"/>
        </w:rPr>
        <w:t>TOR</w:t>
      </w:r>
      <w:r w:rsidR="00693269">
        <w:rPr>
          <w:rFonts w:cs="Arial"/>
          <w:shd w:val="clear" w:color="auto" w:fill="FFFFFF"/>
        </w:rPr>
        <w:t xml:space="preserve"> 2011/3.</w:t>
      </w:r>
    </w:p>
    <w:p w14:paraId="39E31015" w14:textId="3562351B" w:rsidR="00774089" w:rsidRPr="00774089" w:rsidRDefault="00774089" w:rsidP="00196BD8">
      <w:pPr>
        <w:spacing w:after="0" w:line="276" w:lineRule="auto"/>
        <w:jc w:val="both"/>
        <w:rPr>
          <w:rFonts w:cs="Arial"/>
          <w:b/>
          <w:bCs/>
          <w:shd w:val="clear" w:color="auto" w:fill="FFFFFF"/>
        </w:rPr>
      </w:pPr>
      <w:r w:rsidRPr="00774089">
        <w:rPr>
          <w:rFonts w:cs="Arial"/>
          <w:b/>
          <w:bCs/>
          <w:shd w:val="clear" w:color="auto" w:fill="FFFFFF"/>
        </w:rPr>
        <w:t xml:space="preserve">Lodder, </w:t>
      </w:r>
      <w:r w:rsidRPr="00774089">
        <w:rPr>
          <w:rFonts w:cs="Arial"/>
          <w:b/>
          <w:bCs/>
          <w:i/>
          <w:iCs/>
          <w:shd w:val="clear" w:color="auto" w:fill="FFFFFF"/>
        </w:rPr>
        <w:t>Tijdschrift voor internetrecht</w:t>
      </w:r>
      <w:r w:rsidRPr="00774089">
        <w:rPr>
          <w:rFonts w:cs="Arial"/>
          <w:b/>
          <w:bCs/>
          <w:shd w:val="clear" w:color="auto" w:fill="FFFFFF"/>
        </w:rPr>
        <w:t xml:space="preserve"> 2011.</w:t>
      </w:r>
    </w:p>
    <w:p w14:paraId="6BF921E9" w14:textId="6719E8C7" w:rsidR="0055463D" w:rsidRDefault="00E21E66" w:rsidP="00196BD8">
      <w:pPr>
        <w:spacing w:line="276" w:lineRule="auto"/>
        <w:jc w:val="both"/>
        <w:rPr>
          <w:rFonts w:cs="Arial"/>
          <w:shd w:val="clear" w:color="auto" w:fill="FFFFFF"/>
        </w:rPr>
      </w:pPr>
      <w:r>
        <w:rPr>
          <w:rFonts w:cs="Arial"/>
          <w:shd w:val="clear" w:color="auto" w:fill="FFFFFF"/>
        </w:rPr>
        <w:t>A.R. Lodder, ‘Onduidelijkheid over presenteren algemene voorwaarden: verwijzing valt weg door</w:t>
      </w:r>
      <w:r w:rsidR="00275FB8">
        <w:rPr>
          <w:rFonts w:cs="Arial"/>
          <w:shd w:val="clear" w:color="auto" w:fill="FFFFFF"/>
        </w:rPr>
        <w:t xml:space="preserve"> het wijzigen een ondertussen gewijzigde wet</w:t>
      </w:r>
      <w:r w:rsidR="001F01AB">
        <w:rPr>
          <w:rFonts w:cs="Arial"/>
          <w:shd w:val="clear" w:color="auto" w:fill="FFFFFF"/>
        </w:rPr>
        <w:t>’</w:t>
      </w:r>
      <w:r w:rsidR="00275FB8">
        <w:rPr>
          <w:rFonts w:cs="Arial"/>
          <w:shd w:val="clear" w:color="auto" w:fill="FFFFFF"/>
        </w:rPr>
        <w:t xml:space="preserve">, </w:t>
      </w:r>
      <w:r w:rsidR="00275FB8" w:rsidRPr="00774089">
        <w:rPr>
          <w:rFonts w:cs="Arial"/>
          <w:i/>
          <w:iCs/>
          <w:shd w:val="clear" w:color="auto" w:fill="FFFFFF"/>
        </w:rPr>
        <w:t>Tijdschrift voor internetrecht</w:t>
      </w:r>
      <w:r w:rsidR="00275FB8">
        <w:rPr>
          <w:rFonts w:cs="Arial"/>
          <w:shd w:val="clear" w:color="auto" w:fill="FFFFFF"/>
        </w:rPr>
        <w:t>, 2011/4</w:t>
      </w:r>
      <w:r w:rsidR="00774089">
        <w:rPr>
          <w:rFonts w:cs="Arial"/>
          <w:shd w:val="clear" w:color="auto" w:fill="FFFFFF"/>
        </w:rPr>
        <w:t>.</w:t>
      </w:r>
    </w:p>
    <w:p w14:paraId="32BDDAA1" w14:textId="0283692A" w:rsidR="00591D2E" w:rsidRDefault="00AC0F47" w:rsidP="00196BD8">
      <w:pPr>
        <w:spacing w:after="0" w:line="276" w:lineRule="auto"/>
        <w:jc w:val="both"/>
        <w:rPr>
          <w:rFonts w:cs="Arial"/>
          <w:shd w:val="clear" w:color="auto" w:fill="FFFFFF"/>
        </w:rPr>
      </w:pPr>
      <w:r w:rsidRPr="00AC0F47">
        <w:rPr>
          <w:rFonts w:cs="Arial"/>
          <w:b/>
          <w:bCs/>
          <w:shd w:val="clear" w:color="auto" w:fill="FFFFFF"/>
        </w:rPr>
        <w:lastRenderedPageBreak/>
        <w:t xml:space="preserve">Loos, </w:t>
      </w:r>
      <w:r w:rsidRPr="007645F9">
        <w:rPr>
          <w:rFonts w:cs="Arial"/>
          <w:b/>
          <w:bCs/>
          <w:i/>
          <w:iCs/>
          <w:shd w:val="clear" w:color="auto" w:fill="FFFFFF"/>
        </w:rPr>
        <w:t>Contracteren</w:t>
      </w:r>
      <w:r w:rsidRPr="00AC0F47">
        <w:rPr>
          <w:rFonts w:cs="Arial"/>
          <w:b/>
          <w:bCs/>
          <w:shd w:val="clear" w:color="auto" w:fill="FFFFFF"/>
        </w:rPr>
        <w:t xml:space="preserve"> 2004</w:t>
      </w:r>
      <w:r>
        <w:rPr>
          <w:rFonts w:cs="Arial"/>
          <w:shd w:val="clear" w:color="auto" w:fill="FFFFFF"/>
        </w:rPr>
        <w:t>.</w:t>
      </w:r>
    </w:p>
    <w:p w14:paraId="173F96E3" w14:textId="7F25AB95" w:rsidR="00591D2E" w:rsidRPr="0044392C" w:rsidRDefault="003A1684" w:rsidP="00196BD8">
      <w:pPr>
        <w:spacing w:line="276" w:lineRule="auto"/>
        <w:jc w:val="both"/>
        <w:rPr>
          <w:rFonts w:cs="Arial"/>
          <w:shd w:val="clear" w:color="auto" w:fill="FFFFFF"/>
        </w:rPr>
      </w:pPr>
      <w:r>
        <w:rPr>
          <w:rFonts w:cs="Arial"/>
          <w:shd w:val="clear" w:color="auto" w:fill="FFFFFF"/>
        </w:rPr>
        <w:t>M.B.M.</w:t>
      </w:r>
      <w:r w:rsidR="00A71F91">
        <w:rPr>
          <w:rFonts w:cs="Arial"/>
          <w:shd w:val="clear" w:color="auto" w:fill="FFFFFF"/>
        </w:rPr>
        <w:t xml:space="preserve"> Loos, ‘De informatieplicht bij algemene voorwaarden: tijd voor herziening</w:t>
      </w:r>
      <w:r w:rsidR="00AC0F47">
        <w:rPr>
          <w:rFonts w:cs="Arial"/>
          <w:shd w:val="clear" w:color="auto" w:fill="FFFFFF"/>
        </w:rPr>
        <w:t xml:space="preserve"> van een ondeugdelijke regeling’, </w:t>
      </w:r>
      <w:r w:rsidR="00AC0F47" w:rsidRPr="00AC0F47">
        <w:rPr>
          <w:rFonts w:cs="Arial"/>
          <w:i/>
          <w:iCs/>
          <w:shd w:val="clear" w:color="auto" w:fill="FFFFFF"/>
        </w:rPr>
        <w:t>Contracteren</w:t>
      </w:r>
      <w:r w:rsidR="00AC0F47">
        <w:rPr>
          <w:rFonts w:cs="Arial"/>
          <w:shd w:val="clear" w:color="auto" w:fill="FFFFFF"/>
        </w:rPr>
        <w:t xml:space="preserve"> 2004/2.</w:t>
      </w:r>
    </w:p>
    <w:p w14:paraId="44A4678A" w14:textId="60529244" w:rsidR="000A4A3E" w:rsidRPr="0044392C" w:rsidRDefault="000A4A3E" w:rsidP="00196BD8">
      <w:pPr>
        <w:spacing w:after="0" w:line="276" w:lineRule="auto"/>
        <w:jc w:val="both"/>
        <w:rPr>
          <w:rFonts w:cs="Arial"/>
          <w:b/>
          <w:bCs/>
          <w:shd w:val="clear" w:color="auto" w:fill="FFFFFF"/>
        </w:rPr>
      </w:pPr>
      <w:r w:rsidRPr="0044392C">
        <w:rPr>
          <w:rFonts w:cs="Arial"/>
          <w:b/>
          <w:bCs/>
          <w:shd w:val="clear" w:color="auto" w:fill="FFFFFF"/>
        </w:rPr>
        <w:t xml:space="preserve">Loos, </w:t>
      </w:r>
      <w:r w:rsidR="00493590" w:rsidRPr="0044392C">
        <w:rPr>
          <w:rFonts w:cs="Arial"/>
          <w:b/>
          <w:bCs/>
          <w:i/>
          <w:iCs/>
          <w:shd w:val="clear" w:color="auto" w:fill="FFFFFF"/>
        </w:rPr>
        <w:t xml:space="preserve">Handboek Consumentenrecht </w:t>
      </w:r>
      <w:r w:rsidR="00493590" w:rsidRPr="0044392C">
        <w:rPr>
          <w:rFonts w:cs="Arial"/>
          <w:b/>
          <w:bCs/>
          <w:shd w:val="clear" w:color="auto" w:fill="FFFFFF"/>
        </w:rPr>
        <w:t>20</w:t>
      </w:r>
      <w:r w:rsidR="00271789" w:rsidRPr="0044392C">
        <w:rPr>
          <w:rFonts w:cs="Arial"/>
          <w:b/>
          <w:bCs/>
          <w:shd w:val="clear" w:color="auto" w:fill="FFFFFF"/>
        </w:rPr>
        <w:t>20</w:t>
      </w:r>
      <w:r w:rsidR="00493590" w:rsidRPr="0044392C">
        <w:rPr>
          <w:rFonts w:cs="Arial"/>
          <w:b/>
          <w:bCs/>
          <w:shd w:val="clear" w:color="auto" w:fill="FFFFFF"/>
        </w:rPr>
        <w:t xml:space="preserve">. </w:t>
      </w:r>
    </w:p>
    <w:p w14:paraId="4D1BEEE0" w14:textId="76F8E61C" w:rsidR="000A4A3E" w:rsidRPr="0044392C" w:rsidRDefault="000A4A3E" w:rsidP="00196BD8">
      <w:pPr>
        <w:spacing w:line="276" w:lineRule="auto"/>
        <w:jc w:val="both"/>
        <w:rPr>
          <w:color w:val="232323"/>
          <w:shd w:val="clear" w:color="auto" w:fill="FFFFFF"/>
        </w:rPr>
      </w:pPr>
      <w:r w:rsidRPr="0044392C">
        <w:rPr>
          <w:rStyle w:val="apple-converted-space"/>
          <w:color w:val="232323"/>
          <w:shd w:val="clear" w:color="auto" w:fill="FFFFFF"/>
        </w:rPr>
        <w:t> </w:t>
      </w:r>
      <w:r w:rsidRPr="0044392C">
        <w:rPr>
          <w:color w:val="232323"/>
          <w:shd w:val="clear" w:color="auto" w:fill="FFFFFF"/>
        </w:rPr>
        <w:t>M.B.M. Loos, ‘Algemene voorwaarden bij consumentenovereenkomsten’, in: E.H. Hondius &amp; G.J. Rijken (red.),</w:t>
      </w:r>
      <w:r w:rsidRPr="0044392C">
        <w:rPr>
          <w:rStyle w:val="apple-converted-space"/>
          <w:color w:val="232323"/>
          <w:shd w:val="clear" w:color="auto" w:fill="FFFFFF"/>
        </w:rPr>
        <w:t> </w:t>
      </w:r>
      <w:r w:rsidRPr="0044392C">
        <w:rPr>
          <w:rStyle w:val="Nadruk"/>
          <w:color w:val="232323"/>
        </w:rPr>
        <w:t>Handboek Consumentenrecht</w:t>
      </w:r>
      <w:r w:rsidRPr="0044392C">
        <w:rPr>
          <w:color w:val="232323"/>
          <w:shd w:val="clear" w:color="auto" w:fill="FFFFFF"/>
        </w:rPr>
        <w:t>, Zutphen: Uitgeverij Paris 20</w:t>
      </w:r>
      <w:r w:rsidR="00271789" w:rsidRPr="0044392C">
        <w:rPr>
          <w:color w:val="232323"/>
          <w:shd w:val="clear" w:color="auto" w:fill="FFFFFF"/>
        </w:rPr>
        <w:t>20</w:t>
      </w:r>
      <w:r w:rsidR="00493590" w:rsidRPr="0044392C">
        <w:rPr>
          <w:color w:val="232323"/>
          <w:shd w:val="clear" w:color="auto" w:fill="FFFFFF"/>
        </w:rPr>
        <w:t>.</w:t>
      </w:r>
    </w:p>
    <w:p w14:paraId="2830354B" w14:textId="6EE7EF1E" w:rsidR="0044392C" w:rsidRPr="0044392C" w:rsidRDefault="0044392C" w:rsidP="00196BD8">
      <w:pPr>
        <w:spacing w:after="0" w:line="276" w:lineRule="auto"/>
        <w:jc w:val="both"/>
        <w:rPr>
          <w:b/>
          <w:bCs/>
          <w:color w:val="232323"/>
          <w:shd w:val="clear" w:color="auto" w:fill="FFFFFF"/>
        </w:rPr>
      </w:pPr>
      <w:r w:rsidRPr="0044392C">
        <w:rPr>
          <w:b/>
          <w:bCs/>
          <w:color w:val="232323"/>
          <w:shd w:val="clear" w:color="auto" w:fill="FFFFFF"/>
        </w:rPr>
        <w:t>Loos 2024.</w:t>
      </w:r>
    </w:p>
    <w:p w14:paraId="1D972C35" w14:textId="0BB9E3E7" w:rsidR="005F7D92" w:rsidRPr="0044392C" w:rsidRDefault="005F7D92" w:rsidP="00196BD8">
      <w:pPr>
        <w:spacing w:line="276" w:lineRule="auto"/>
        <w:jc w:val="both"/>
      </w:pPr>
      <w:r w:rsidRPr="0044392C">
        <w:rPr>
          <w:color w:val="232323"/>
          <w:shd w:val="clear" w:color="auto" w:fill="FFFFFF"/>
        </w:rPr>
        <w:t xml:space="preserve">M.B.M. Loos, </w:t>
      </w:r>
      <w:r w:rsidR="00B444F4" w:rsidRPr="0044392C">
        <w:rPr>
          <w:i/>
          <w:iCs/>
          <w:color w:val="232323"/>
          <w:shd w:val="clear" w:color="auto" w:fill="FFFFFF"/>
        </w:rPr>
        <w:t>Algemene voor</w:t>
      </w:r>
      <w:r w:rsidR="001511B3" w:rsidRPr="0044392C">
        <w:rPr>
          <w:i/>
          <w:iCs/>
          <w:color w:val="232323"/>
          <w:shd w:val="clear" w:color="auto" w:fill="FFFFFF"/>
        </w:rPr>
        <w:t xml:space="preserve">waarden, </w:t>
      </w:r>
      <w:r w:rsidR="006F60C8" w:rsidRPr="0044392C">
        <w:rPr>
          <w:color w:val="232323"/>
          <w:shd w:val="clear" w:color="auto" w:fill="FFFFFF"/>
        </w:rPr>
        <w:t>Den Haag: Boom Juridisch 2024.</w:t>
      </w:r>
    </w:p>
    <w:p w14:paraId="12D4BF20" w14:textId="77777777" w:rsidR="0092759A" w:rsidRPr="00C4067D" w:rsidRDefault="0092759A" w:rsidP="00196BD8">
      <w:pPr>
        <w:pStyle w:val="Voetnoottekst"/>
        <w:spacing w:line="276" w:lineRule="auto"/>
        <w:jc w:val="both"/>
        <w:rPr>
          <w:rFonts w:cs="Calibri"/>
          <w:b/>
          <w:bCs/>
          <w:color w:val="0D0D0D" w:themeColor="text1" w:themeTint="F2"/>
          <w:sz w:val="24"/>
          <w:szCs w:val="24"/>
          <w:shd w:val="clear" w:color="auto" w:fill="FFFFFF"/>
        </w:rPr>
      </w:pPr>
      <w:r w:rsidRPr="00C4067D">
        <w:rPr>
          <w:rFonts w:cs="Calibri"/>
          <w:b/>
          <w:bCs/>
          <w:color w:val="0D0D0D" w:themeColor="text1" w:themeTint="F2"/>
          <w:sz w:val="24"/>
          <w:szCs w:val="24"/>
          <w:shd w:val="clear" w:color="auto" w:fill="FFFFFF"/>
        </w:rPr>
        <w:t xml:space="preserve">Kersten, </w:t>
      </w:r>
      <w:r w:rsidRPr="00C4067D">
        <w:rPr>
          <w:rFonts w:cs="Calibri"/>
          <w:b/>
          <w:bCs/>
          <w:i/>
          <w:iCs/>
          <w:color w:val="0D0D0D" w:themeColor="text1" w:themeTint="F2"/>
          <w:sz w:val="24"/>
          <w:szCs w:val="24"/>
          <w:shd w:val="clear" w:color="auto" w:fill="FFFFFF"/>
        </w:rPr>
        <w:t>ORP</w:t>
      </w:r>
      <w:r w:rsidRPr="00C4067D">
        <w:rPr>
          <w:rFonts w:cs="Calibri"/>
          <w:b/>
          <w:bCs/>
          <w:color w:val="0D0D0D" w:themeColor="text1" w:themeTint="F2"/>
          <w:sz w:val="24"/>
          <w:szCs w:val="24"/>
          <w:shd w:val="clear" w:color="auto" w:fill="FFFFFF"/>
        </w:rPr>
        <w:t xml:space="preserve"> 2012.</w:t>
      </w:r>
    </w:p>
    <w:p w14:paraId="13EBC7F9" w14:textId="5EDE1E80" w:rsidR="00BF36B9" w:rsidRDefault="0092759A" w:rsidP="00196BD8">
      <w:pPr>
        <w:pStyle w:val="Voetnoottekst"/>
        <w:spacing w:line="276" w:lineRule="auto"/>
        <w:jc w:val="both"/>
        <w:rPr>
          <w:rFonts w:cs="Calibri"/>
          <w:color w:val="0D0D0D" w:themeColor="text1" w:themeTint="F2"/>
          <w:sz w:val="24"/>
          <w:szCs w:val="24"/>
          <w:shd w:val="clear" w:color="auto" w:fill="FFFFFF"/>
        </w:rPr>
      </w:pPr>
      <w:r w:rsidRPr="00280CB6">
        <w:rPr>
          <w:rFonts w:cs="Calibri"/>
          <w:color w:val="0D0D0D" w:themeColor="text1" w:themeTint="F2"/>
          <w:sz w:val="24"/>
          <w:szCs w:val="24"/>
          <w:shd w:val="clear" w:color="auto" w:fill="FFFFFF"/>
        </w:rPr>
        <w:t xml:space="preserve">T.B.M. Kersten, </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Richtlijnconforme uitleg van de informatieverplichting bij dienstverrichting; ijdele hoop voor ongemak?</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w:t>
      </w:r>
      <w:r w:rsidRPr="00280CB6">
        <w:rPr>
          <w:rStyle w:val="apple-converted-space"/>
          <w:rFonts w:cs="Calibri"/>
          <w:color w:val="0D0D0D" w:themeColor="text1" w:themeTint="F2"/>
          <w:sz w:val="24"/>
          <w:szCs w:val="24"/>
          <w:shd w:val="clear" w:color="auto" w:fill="FFFFFF"/>
        </w:rPr>
        <w:t> </w:t>
      </w:r>
      <w:r w:rsidRPr="00280CB6">
        <w:rPr>
          <w:rStyle w:val="Nadruk"/>
          <w:rFonts w:cs="Calibri"/>
          <w:color w:val="0D0D0D" w:themeColor="text1" w:themeTint="F2"/>
          <w:sz w:val="24"/>
          <w:szCs w:val="24"/>
        </w:rPr>
        <w:t>ORP</w:t>
      </w:r>
      <w:r w:rsidRPr="00280CB6">
        <w:rPr>
          <w:rStyle w:val="apple-converted-space"/>
          <w:rFonts w:cs="Calibri"/>
          <w:color w:val="0D0D0D" w:themeColor="text1" w:themeTint="F2"/>
          <w:sz w:val="24"/>
          <w:szCs w:val="24"/>
          <w:shd w:val="clear" w:color="auto" w:fill="FFFFFF"/>
        </w:rPr>
        <w:t> </w:t>
      </w:r>
      <w:r w:rsidRPr="00280CB6">
        <w:rPr>
          <w:rFonts w:cs="Calibri"/>
          <w:color w:val="0D0D0D" w:themeColor="text1" w:themeTint="F2"/>
          <w:sz w:val="24"/>
          <w:szCs w:val="24"/>
          <w:shd w:val="clear" w:color="auto" w:fill="FFFFFF"/>
        </w:rPr>
        <w:t>2</w:t>
      </w:r>
      <w:r w:rsidR="009506BC">
        <w:rPr>
          <w:rFonts w:cs="Calibri"/>
          <w:color w:val="0D0D0D" w:themeColor="text1" w:themeTint="F2"/>
          <w:sz w:val="24"/>
          <w:szCs w:val="24"/>
          <w:shd w:val="clear" w:color="auto" w:fill="FFFFFF"/>
        </w:rPr>
        <w:t>0</w:t>
      </w:r>
      <w:r w:rsidRPr="00280CB6">
        <w:rPr>
          <w:rFonts w:cs="Calibri"/>
          <w:color w:val="0D0D0D" w:themeColor="text1" w:themeTint="F2"/>
          <w:sz w:val="24"/>
          <w:szCs w:val="24"/>
          <w:shd w:val="clear" w:color="auto" w:fill="FFFFFF"/>
        </w:rPr>
        <w:t>12/6</w:t>
      </w:r>
      <w:r>
        <w:rPr>
          <w:rFonts w:cs="Calibri"/>
          <w:color w:val="0D0D0D" w:themeColor="text1" w:themeTint="F2"/>
          <w:sz w:val="24"/>
          <w:szCs w:val="24"/>
          <w:shd w:val="clear" w:color="auto" w:fill="FFFFFF"/>
        </w:rPr>
        <w:t>.</w:t>
      </w:r>
    </w:p>
    <w:p w14:paraId="6649DA7C" w14:textId="77777777" w:rsidR="0092759A" w:rsidRDefault="0092759A" w:rsidP="00196BD8">
      <w:pPr>
        <w:pStyle w:val="Voetnoottekst"/>
        <w:spacing w:line="276" w:lineRule="auto"/>
        <w:jc w:val="both"/>
        <w:rPr>
          <w:rFonts w:cs="Calibri"/>
          <w:color w:val="0D0D0D" w:themeColor="text1" w:themeTint="F2"/>
          <w:sz w:val="24"/>
          <w:szCs w:val="24"/>
          <w:shd w:val="clear" w:color="auto" w:fill="FFFFFF"/>
        </w:rPr>
      </w:pPr>
    </w:p>
    <w:p w14:paraId="0055167C" w14:textId="5DB37B25" w:rsidR="002E72FC" w:rsidRPr="002E72FC" w:rsidRDefault="002E72FC" w:rsidP="00196BD8">
      <w:pPr>
        <w:pStyle w:val="Voetnoottekst"/>
        <w:spacing w:line="276" w:lineRule="auto"/>
        <w:jc w:val="both"/>
        <w:rPr>
          <w:rFonts w:cs="Calibri"/>
          <w:b/>
          <w:bCs/>
          <w:color w:val="0D0D0D" w:themeColor="text1" w:themeTint="F2"/>
          <w:sz w:val="24"/>
          <w:szCs w:val="24"/>
          <w:shd w:val="clear" w:color="auto" w:fill="FFFFFF"/>
        </w:rPr>
      </w:pPr>
      <w:r w:rsidRPr="002E72FC">
        <w:rPr>
          <w:rFonts w:cs="Calibri"/>
          <w:b/>
          <w:bCs/>
          <w:color w:val="0D0D0D" w:themeColor="text1" w:themeTint="F2"/>
          <w:sz w:val="24"/>
          <w:szCs w:val="24"/>
          <w:shd w:val="clear" w:color="auto" w:fill="FFFFFF"/>
        </w:rPr>
        <w:t xml:space="preserve">Martius, </w:t>
      </w:r>
      <w:r w:rsidRPr="002E72FC">
        <w:rPr>
          <w:rFonts w:cs="Calibri"/>
          <w:b/>
          <w:bCs/>
          <w:i/>
          <w:iCs/>
          <w:color w:val="0D0D0D" w:themeColor="text1" w:themeTint="F2"/>
          <w:sz w:val="24"/>
          <w:szCs w:val="24"/>
          <w:shd w:val="clear" w:color="auto" w:fill="FFFFFF"/>
        </w:rPr>
        <w:t>Algemene voorwaarden</w:t>
      </w:r>
      <w:r w:rsidRPr="002E72FC">
        <w:rPr>
          <w:rFonts w:cs="Calibri"/>
          <w:b/>
          <w:bCs/>
          <w:color w:val="0D0D0D" w:themeColor="text1" w:themeTint="F2"/>
          <w:sz w:val="24"/>
          <w:szCs w:val="24"/>
          <w:shd w:val="clear" w:color="auto" w:fill="FFFFFF"/>
        </w:rPr>
        <w:t xml:space="preserve"> 2006.</w:t>
      </w:r>
    </w:p>
    <w:p w14:paraId="5CA26A03" w14:textId="71C8819E" w:rsidR="00303E40" w:rsidRPr="0021304B" w:rsidRDefault="0021304B" w:rsidP="00196BD8">
      <w:pPr>
        <w:pStyle w:val="Voetnoottekst"/>
        <w:spacing w:line="276" w:lineRule="auto"/>
        <w:jc w:val="both"/>
        <w:rPr>
          <w:rFonts w:cs="Calibri"/>
          <w:color w:val="0D0D0D" w:themeColor="text1" w:themeTint="F2"/>
          <w:sz w:val="24"/>
          <w:szCs w:val="24"/>
          <w:shd w:val="clear" w:color="auto" w:fill="FFFFFF"/>
        </w:rPr>
      </w:pPr>
      <w:r w:rsidRPr="0021304B">
        <w:rPr>
          <w:rFonts w:cs="Calibri"/>
          <w:color w:val="0D0D0D" w:themeColor="text1" w:themeTint="F2"/>
          <w:sz w:val="24"/>
          <w:szCs w:val="24"/>
          <w:shd w:val="clear" w:color="auto" w:fill="FFFFFF"/>
        </w:rPr>
        <w:t>H.P.A.J. Martius, ‘Algemene voorwaarden</w:t>
      </w:r>
      <w:r>
        <w:rPr>
          <w:rFonts w:cs="Calibri"/>
          <w:color w:val="0D0D0D" w:themeColor="text1" w:themeTint="F2"/>
          <w:sz w:val="24"/>
          <w:szCs w:val="24"/>
          <w:shd w:val="clear" w:color="auto" w:fill="FFFFFF"/>
        </w:rPr>
        <w:t xml:space="preserve"> en E-commerce</w:t>
      </w:r>
      <w:r w:rsidR="00B5441E">
        <w:rPr>
          <w:rFonts w:cs="Calibri"/>
          <w:color w:val="0D0D0D" w:themeColor="text1" w:themeTint="F2"/>
          <w:sz w:val="24"/>
          <w:szCs w:val="24"/>
          <w:shd w:val="clear" w:color="auto" w:fill="FFFFFF"/>
        </w:rPr>
        <w:t xml:space="preserve">’, in: B. Wessels, R.H.C. Jongeneel, M.L. Hendrikse, </w:t>
      </w:r>
      <w:r w:rsidR="00D24FA4" w:rsidRPr="002E72FC">
        <w:rPr>
          <w:rFonts w:cs="Calibri"/>
          <w:i/>
          <w:iCs/>
          <w:color w:val="0D0D0D" w:themeColor="text1" w:themeTint="F2"/>
          <w:sz w:val="24"/>
          <w:szCs w:val="24"/>
          <w:shd w:val="clear" w:color="auto" w:fill="FFFFFF"/>
        </w:rPr>
        <w:t>Algemene voorwaarden</w:t>
      </w:r>
      <w:r w:rsidR="00A40A3E">
        <w:rPr>
          <w:rFonts w:cs="Calibri"/>
          <w:color w:val="0D0D0D" w:themeColor="text1" w:themeTint="F2"/>
          <w:sz w:val="24"/>
          <w:szCs w:val="24"/>
          <w:shd w:val="clear" w:color="auto" w:fill="FFFFFF"/>
        </w:rPr>
        <w:t xml:space="preserve">, Deventer: </w:t>
      </w:r>
      <w:r w:rsidR="00EC1626">
        <w:rPr>
          <w:rFonts w:cs="Calibri"/>
          <w:color w:val="0D0D0D" w:themeColor="text1" w:themeTint="F2"/>
          <w:sz w:val="24"/>
          <w:szCs w:val="24"/>
          <w:shd w:val="clear" w:color="auto" w:fill="FFFFFF"/>
        </w:rPr>
        <w:t xml:space="preserve">Wolters </w:t>
      </w:r>
      <w:r w:rsidR="002E72FC">
        <w:rPr>
          <w:rFonts w:cs="Calibri"/>
          <w:color w:val="0D0D0D" w:themeColor="text1" w:themeTint="F2"/>
          <w:sz w:val="24"/>
          <w:szCs w:val="24"/>
          <w:shd w:val="clear" w:color="auto" w:fill="FFFFFF"/>
        </w:rPr>
        <w:t>Kluwer 2006.</w:t>
      </w:r>
    </w:p>
    <w:p w14:paraId="46C44294" w14:textId="77777777" w:rsidR="00303E40" w:rsidRPr="0021304B" w:rsidRDefault="00303E40" w:rsidP="00196BD8">
      <w:pPr>
        <w:pStyle w:val="Voetnoottekst"/>
        <w:spacing w:line="276" w:lineRule="auto"/>
        <w:jc w:val="both"/>
        <w:rPr>
          <w:rFonts w:cs="Calibri"/>
          <w:color w:val="0D0D0D" w:themeColor="text1" w:themeTint="F2"/>
          <w:sz w:val="24"/>
          <w:szCs w:val="24"/>
          <w:shd w:val="clear" w:color="auto" w:fill="FFFFFF"/>
        </w:rPr>
      </w:pPr>
    </w:p>
    <w:p w14:paraId="4B90BA78" w14:textId="4988175A" w:rsidR="00410F79" w:rsidRPr="00113434" w:rsidRDefault="00410F79" w:rsidP="00196BD8">
      <w:pPr>
        <w:pStyle w:val="Voetnoottekst"/>
        <w:spacing w:line="276" w:lineRule="auto"/>
        <w:jc w:val="both"/>
        <w:rPr>
          <w:rFonts w:cs="Calibri"/>
          <w:b/>
          <w:bCs/>
          <w:color w:val="0D0D0D" w:themeColor="text1" w:themeTint="F2"/>
          <w:sz w:val="24"/>
          <w:szCs w:val="24"/>
          <w:shd w:val="clear" w:color="auto" w:fill="FFFFFF"/>
        </w:rPr>
      </w:pPr>
      <w:r w:rsidRPr="00113434">
        <w:rPr>
          <w:rFonts w:cs="Calibri"/>
          <w:b/>
          <w:bCs/>
          <w:color w:val="0D0D0D" w:themeColor="text1" w:themeTint="F2"/>
          <w:sz w:val="24"/>
          <w:szCs w:val="24"/>
          <w:shd w:val="clear" w:color="auto" w:fill="FFFFFF"/>
        </w:rPr>
        <w:t>Martius 2008.</w:t>
      </w:r>
    </w:p>
    <w:p w14:paraId="4C100C8E" w14:textId="32E21C71" w:rsidR="00410F79" w:rsidRPr="00571660" w:rsidRDefault="00410F79" w:rsidP="00196BD8">
      <w:pPr>
        <w:pStyle w:val="Voetnoottekst"/>
        <w:spacing w:line="276" w:lineRule="auto"/>
        <w:jc w:val="both"/>
        <w:rPr>
          <w:color w:val="232323"/>
          <w:sz w:val="24"/>
          <w:szCs w:val="24"/>
          <w:shd w:val="clear" w:color="auto" w:fill="FFFFFF"/>
        </w:rPr>
      </w:pPr>
      <w:r w:rsidRPr="00571660">
        <w:rPr>
          <w:color w:val="232323"/>
          <w:sz w:val="24"/>
          <w:szCs w:val="24"/>
          <w:shd w:val="clear" w:color="auto" w:fill="FFFFFF"/>
        </w:rPr>
        <w:t>H.P.A.J.</w:t>
      </w:r>
      <w:r w:rsidR="00571660" w:rsidRPr="00571660">
        <w:rPr>
          <w:color w:val="232323"/>
          <w:sz w:val="24"/>
          <w:szCs w:val="24"/>
          <w:shd w:val="clear" w:color="auto" w:fill="FFFFFF"/>
        </w:rPr>
        <w:t xml:space="preserve"> </w:t>
      </w:r>
      <w:r w:rsidRPr="00571660">
        <w:rPr>
          <w:color w:val="232323"/>
          <w:sz w:val="24"/>
          <w:szCs w:val="24"/>
          <w:shd w:val="clear" w:color="auto" w:fill="FFFFFF"/>
        </w:rPr>
        <w:t>Martius,</w:t>
      </w:r>
      <w:r w:rsidRPr="00571660">
        <w:rPr>
          <w:rStyle w:val="apple-converted-space"/>
          <w:color w:val="232323"/>
          <w:sz w:val="24"/>
          <w:szCs w:val="24"/>
          <w:shd w:val="clear" w:color="auto" w:fill="FFFFFF"/>
        </w:rPr>
        <w:t> </w:t>
      </w:r>
      <w:r w:rsidRPr="00571660">
        <w:rPr>
          <w:rStyle w:val="Nadruk"/>
          <w:color w:val="232323"/>
          <w:sz w:val="24"/>
          <w:szCs w:val="24"/>
        </w:rPr>
        <w:t>Elektronisch handelsrecht – De juridische aspecten van elektronische communicatie in het handelsrecht</w:t>
      </w:r>
      <w:r w:rsidRPr="00571660">
        <w:rPr>
          <w:color w:val="232323"/>
          <w:sz w:val="24"/>
          <w:szCs w:val="24"/>
          <w:shd w:val="clear" w:color="auto" w:fill="FFFFFF"/>
        </w:rPr>
        <w:t>, Zutphen: Uitgeverij Paris 2008.</w:t>
      </w:r>
    </w:p>
    <w:p w14:paraId="2F1986B8" w14:textId="61D22910" w:rsidR="00815A0A" w:rsidRDefault="00815A0A" w:rsidP="00196BD8">
      <w:pPr>
        <w:pStyle w:val="Voetnoottekst"/>
        <w:spacing w:line="276" w:lineRule="auto"/>
        <w:jc w:val="both"/>
        <w:rPr>
          <w:rFonts w:cs="Calibri"/>
          <w:color w:val="0D0D0D" w:themeColor="text1" w:themeTint="F2"/>
          <w:sz w:val="24"/>
          <w:szCs w:val="24"/>
          <w:shd w:val="clear" w:color="auto" w:fill="FFFFFF"/>
        </w:rPr>
      </w:pPr>
    </w:p>
    <w:p w14:paraId="72F556B6" w14:textId="13253A5C" w:rsidR="00D759CB" w:rsidRPr="00D759CB" w:rsidRDefault="00D759CB" w:rsidP="00196BD8">
      <w:pPr>
        <w:pStyle w:val="Voetnoottekst"/>
        <w:spacing w:line="276" w:lineRule="auto"/>
        <w:jc w:val="both"/>
        <w:rPr>
          <w:rFonts w:cs="Calibri"/>
          <w:b/>
          <w:bCs/>
          <w:color w:val="0D0D0D" w:themeColor="text1" w:themeTint="F2"/>
          <w:sz w:val="24"/>
          <w:szCs w:val="24"/>
          <w:shd w:val="clear" w:color="auto" w:fill="FFFFFF"/>
        </w:rPr>
      </w:pPr>
      <w:r w:rsidRPr="00D759CB">
        <w:rPr>
          <w:rFonts w:cs="Calibri"/>
          <w:b/>
          <w:bCs/>
          <w:color w:val="0D0D0D" w:themeColor="text1" w:themeTint="F2"/>
          <w:sz w:val="24"/>
          <w:szCs w:val="24"/>
          <w:shd w:val="clear" w:color="auto" w:fill="FFFFFF"/>
        </w:rPr>
        <w:t>Schelhaas</w:t>
      </w:r>
      <w:r w:rsidR="00841AE6" w:rsidRPr="00D759CB">
        <w:rPr>
          <w:rFonts w:cs="Calibri"/>
          <w:b/>
          <w:bCs/>
          <w:color w:val="0D0D0D" w:themeColor="text1" w:themeTint="F2"/>
          <w:sz w:val="24"/>
          <w:szCs w:val="24"/>
          <w:shd w:val="clear" w:color="auto" w:fill="FFFFFF"/>
        </w:rPr>
        <w:t xml:space="preserve"> </w:t>
      </w:r>
      <w:r w:rsidRPr="00D759CB">
        <w:rPr>
          <w:rFonts w:cs="Calibri"/>
          <w:b/>
          <w:bCs/>
          <w:color w:val="0D0D0D" w:themeColor="text1" w:themeTint="F2"/>
          <w:sz w:val="24"/>
          <w:szCs w:val="24"/>
          <w:shd w:val="clear" w:color="auto" w:fill="FFFFFF"/>
        </w:rPr>
        <w:t>2011</w:t>
      </w:r>
      <w:r>
        <w:rPr>
          <w:rFonts w:cs="Calibri"/>
          <w:b/>
          <w:bCs/>
          <w:color w:val="0D0D0D" w:themeColor="text1" w:themeTint="F2"/>
          <w:sz w:val="24"/>
          <w:szCs w:val="24"/>
          <w:shd w:val="clear" w:color="auto" w:fill="FFFFFF"/>
        </w:rPr>
        <w:t>.</w:t>
      </w:r>
    </w:p>
    <w:p w14:paraId="40CF8C22" w14:textId="35B41268" w:rsidR="00815A0A" w:rsidRDefault="00815A0A" w:rsidP="00196BD8">
      <w:pPr>
        <w:pStyle w:val="Voetnoottekst"/>
        <w:spacing w:line="276" w:lineRule="auto"/>
        <w:jc w:val="both"/>
        <w:rPr>
          <w:rFonts w:cs="Calibri"/>
          <w:color w:val="0D0D0D" w:themeColor="text1" w:themeTint="F2"/>
          <w:sz w:val="24"/>
          <w:szCs w:val="24"/>
          <w:shd w:val="clear" w:color="auto" w:fill="FFFFFF"/>
        </w:rPr>
      </w:pPr>
      <w:r w:rsidRPr="00815A0A">
        <w:rPr>
          <w:rFonts w:cs="Calibri"/>
          <w:color w:val="0D0D0D" w:themeColor="text1" w:themeTint="F2"/>
          <w:sz w:val="24"/>
          <w:szCs w:val="24"/>
          <w:shd w:val="clear" w:color="auto" w:fill="FFFFFF"/>
        </w:rPr>
        <w:t>H.N. Schelhaas, </w:t>
      </w:r>
      <w:r w:rsidRPr="00815A0A">
        <w:rPr>
          <w:rFonts w:cs="Calibri"/>
          <w:i/>
          <w:iCs/>
          <w:color w:val="0D0D0D" w:themeColor="text1" w:themeTint="F2"/>
          <w:sz w:val="24"/>
          <w:szCs w:val="24"/>
          <w:shd w:val="clear" w:color="auto" w:fill="FFFFFF"/>
        </w:rPr>
        <w:t>Algemene voorwaarden in handelstransacties (Studiekring Offerhaus nr. 13)</w:t>
      </w:r>
      <w:r w:rsidRPr="00815A0A">
        <w:rPr>
          <w:rFonts w:cs="Calibri"/>
          <w:color w:val="0D0D0D" w:themeColor="text1" w:themeTint="F2"/>
          <w:sz w:val="24"/>
          <w:szCs w:val="24"/>
          <w:shd w:val="clear" w:color="auto" w:fill="FFFFFF"/>
        </w:rPr>
        <w:t xml:space="preserve">, Deventer: </w:t>
      </w:r>
      <w:r w:rsidR="00757BC3">
        <w:rPr>
          <w:rFonts w:cs="Calibri"/>
          <w:color w:val="0D0D0D" w:themeColor="text1" w:themeTint="F2"/>
          <w:sz w:val="24"/>
          <w:szCs w:val="24"/>
          <w:shd w:val="clear" w:color="auto" w:fill="FFFFFF"/>
        </w:rPr>
        <w:t xml:space="preserve">Wolters </w:t>
      </w:r>
      <w:r w:rsidRPr="00815A0A">
        <w:rPr>
          <w:rFonts w:cs="Calibri"/>
          <w:color w:val="0D0D0D" w:themeColor="text1" w:themeTint="F2"/>
          <w:sz w:val="24"/>
          <w:szCs w:val="24"/>
          <w:shd w:val="clear" w:color="auto" w:fill="FFFFFF"/>
        </w:rPr>
        <w:t>Kluwer 2011.</w:t>
      </w:r>
    </w:p>
    <w:p w14:paraId="3B40801F" w14:textId="77777777" w:rsidR="00815A0A" w:rsidRDefault="00815A0A" w:rsidP="00196BD8">
      <w:pPr>
        <w:pStyle w:val="Voetnoottekst"/>
        <w:spacing w:line="276" w:lineRule="auto"/>
        <w:jc w:val="both"/>
        <w:rPr>
          <w:rFonts w:cs="Calibri"/>
          <w:color w:val="0D0D0D" w:themeColor="text1" w:themeTint="F2"/>
          <w:sz w:val="24"/>
          <w:szCs w:val="24"/>
          <w:shd w:val="clear" w:color="auto" w:fill="FFFFFF"/>
        </w:rPr>
      </w:pPr>
    </w:p>
    <w:p w14:paraId="3A4FA828" w14:textId="77777777" w:rsidR="0092759A" w:rsidRPr="00C4067D" w:rsidRDefault="0092759A" w:rsidP="00196BD8">
      <w:pPr>
        <w:pStyle w:val="Voetnoottekst"/>
        <w:spacing w:line="276" w:lineRule="auto"/>
        <w:jc w:val="both"/>
        <w:rPr>
          <w:rFonts w:cs="Calibri"/>
          <w:b/>
          <w:bCs/>
          <w:color w:val="0D0D0D" w:themeColor="text1" w:themeTint="F2"/>
          <w:sz w:val="24"/>
          <w:szCs w:val="24"/>
          <w:shd w:val="clear" w:color="auto" w:fill="FFFFFF"/>
        </w:rPr>
      </w:pPr>
      <w:r w:rsidRPr="00C4067D">
        <w:rPr>
          <w:rFonts w:cs="Calibri"/>
          <w:b/>
          <w:bCs/>
          <w:color w:val="0D0D0D" w:themeColor="text1" w:themeTint="F2"/>
          <w:sz w:val="24"/>
          <w:szCs w:val="24"/>
          <w:shd w:val="clear" w:color="auto" w:fill="FFFFFF"/>
        </w:rPr>
        <w:t xml:space="preserve">Schaub, </w:t>
      </w:r>
      <w:r w:rsidRPr="00C4067D">
        <w:rPr>
          <w:rFonts w:cs="Calibri"/>
          <w:b/>
          <w:bCs/>
          <w:i/>
          <w:iCs/>
          <w:color w:val="0D0D0D" w:themeColor="text1" w:themeTint="F2"/>
          <w:sz w:val="24"/>
          <w:szCs w:val="24"/>
          <w:shd w:val="clear" w:color="auto" w:fill="FFFFFF"/>
        </w:rPr>
        <w:t>NTBR</w:t>
      </w:r>
      <w:r w:rsidRPr="00C4067D">
        <w:rPr>
          <w:rFonts w:cs="Calibri"/>
          <w:b/>
          <w:bCs/>
          <w:color w:val="0D0D0D" w:themeColor="text1" w:themeTint="F2"/>
          <w:sz w:val="24"/>
          <w:szCs w:val="24"/>
          <w:shd w:val="clear" w:color="auto" w:fill="FFFFFF"/>
        </w:rPr>
        <w:t xml:space="preserve"> 2013.</w:t>
      </w:r>
    </w:p>
    <w:p w14:paraId="1CF2C998" w14:textId="1B3FF2E4" w:rsidR="0092759A" w:rsidRDefault="0092759A" w:rsidP="00196BD8">
      <w:pPr>
        <w:pStyle w:val="Voetnoottekst"/>
        <w:spacing w:line="276" w:lineRule="auto"/>
        <w:jc w:val="both"/>
        <w:rPr>
          <w:rFonts w:cs="Calibri"/>
          <w:color w:val="0D0D0D" w:themeColor="text1" w:themeTint="F2"/>
          <w:sz w:val="24"/>
          <w:szCs w:val="24"/>
          <w:shd w:val="clear" w:color="auto" w:fill="FFFFFF"/>
        </w:rPr>
      </w:pPr>
      <w:r w:rsidRPr="00280CB6">
        <w:rPr>
          <w:rFonts w:cs="Calibri"/>
          <w:color w:val="0D0D0D" w:themeColor="text1" w:themeTint="F2"/>
          <w:sz w:val="24"/>
          <w:szCs w:val="24"/>
          <w:shd w:val="clear" w:color="auto" w:fill="FFFFFF"/>
        </w:rPr>
        <w:t>M.Y, S</w:t>
      </w:r>
      <w:r>
        <w:rPr>
          <w:rFonts w:cs="Calibri"/>
          <w:color w:val="0D0D0D" w:themeColor="text1" w:themeTint="F2"/>
          <w:sz w:val="24"/>
          <w:szCs w:val="24"/>
          <w:shd w:val="clear" w:color="auto" w:fill="FFFFFF"/>
        </w:rPr>
        <w:t>c</w:t>
      </w:r>
      <w:r w:rsidRPr="00280CB6">
        <w:rPr>
          <w:rFonts w:cs="Calibri"/>
          <w:color w:val="0D0D0D" w:themeColor="text1" w:themeTint="F2"/>
          <w:sz w:val="24"/>
          <w:szCs w:val="24"/>
          <w:shd w:val="clear" w:color="auto" w:fill="FFFFFF"/>
        </w:rPr>
        <w:t>haub, ‘Twee regelingen voor elektronische algemene voorwaarden in het BW’</w:t>
      </w:r>
      <w:r w:rsidR="00B673E3">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 xml:space="preserve"> </w:t>
      </w:r>
      <w:r w:rsidRPr="00280CB6">
        <w:rPr>
          <w:rFonts w:cs="Calibri"/>
          <w:i/>
          <w:iCs/>
          <w:color w:val="0D0D0D" w:themeColor="text1" w:themeTint="F2"/>
          <w:sz w:val="24"/>
          <w:szCs w:val="24"/>
          <w:shd w:val="clear" w:color="auto" w:fill="FFFFFF"/>
        </w:rPr>
        <w:t>NTBR</w:t>
      </w:r>
      <w:r w:rsidRPr="00280CB6">
        <w:rPr>
          <w:rFonts w:cs="Calibri"/>
          <w:color w:val="0D0D0D" w:themeColor="text1" w:themeTint="F2"/>
          <w:sz w:val="24"/>
          <w:szCs w:val="24"/>
          <w:shd w:val="clear" w:color="auto" w:fill="FFFFFF"/>
        </w:rPr>
        <w:t xml:space="preserve"> 2013/16.</w:t>
      </w:r>
    </w:p>
    <w:p w14:paraId="292C9580" w14:textId="77777777" w:rsidR="0092759A" w:rsidRPr="00274B7F" w:rsidRDefault="0092759A" w:rsidP="00196BD8">
      <w:pPr>
        <w:pStyle w:val="Voetnoottekst"/>
        <w:spacing w:line="276" w:lineRule="auto"/>
        <w:jc w:val="both"/>
        <w:rPr>
          <w:rFonts w:cs="Calibri"/>
          <w:color w:val="0D0D0D" w:themeColor="text1" w:themeTint="F2"/>
          <w:sz w:val="24"/>
          <w:szCs w:val="24"/>
          <w:shd w:val="clear" w:color="auto" w:fill="FFFFFF"/>
        </w:rPr>
      </w:pPr>
    </w:p>
    <w:p w14:paraId="2E701BB4" w14:textId="77777777" w:rsidR="0092759A" w:rsidRPr="00EC13EA" w:rsidRDefault="0092759A" w:rsidP="00196BD8">
      <w:pPr>
        <w:pStyle w:val="Voetnoottekst"/>
        <w:spacing w:line="276" w:lineRule="auto"/>
        <w:jc w:val="both"/>
        <w:rPr>
          <w:rFonts w:cs="Calibri"/>
          <w:b/>
          <w:bCs/>
          <w:color w:val="0D0D0D" w:themeColor="text1" w:themeTint="F2"/>
          <w:sz w:val="24"/>
          <w:szCs w:val="24"/>
          <w:shd w:val="clear" w:color="auto" w:fill="FFFFFF"/>
        </w:rPr>
      </w:pPr>
      <w:r w:rsidRPr="00EC13EA">
        <w:rPr>
          <w:rFonts w:cs="Calibri"/>
          <w:b/>
          <w:bCs/>
          <w:color w:val="0D0D0D" w:themeColor="text1" w:themeTint="F2"/>
          <w:sz w:val="24"/>
          <w:szCs w:val="24"/>
          <w:shd w:val="clear" w:color="auto" w:fill="FFFFFF"/>
        </w:rPr>
        <w:t xml:space="preserve">Schaub, </w:t>
      </w:r>
      <w:r w:rsidRPr="00EC13EA">
        <w:rPr>
          <w:rFonts w:cs="Calibri"/>
          <w:b/>
          <w:bCs/>
          <w:i/>
          <w:iCs/>
          <w:color w:val="0D0D0D" w:themeColor="text1" w:themeTint="F2"/>
          <w:sz w:val="24"/>
          <w:szCs w:val="24"/>
          <w:shd w:val="clear" w:color="auto" w:fill="FFFFFF"/>
        </w:rPr>
        <w:t>TvCH</w:t>
      </w:r>
      <w:r w:rsidRPr="00EC13EA">
        <w:rPr>
          <w:rFonts w:cs="Calibri"/>
          <w:b/>
          <w:bCs/>
          <w:color w:val="0D0D0D" w:themeColor="text1" w:themeTint="F2"/>
          <w:sz w:val="24"/>
          <w:szCs w:val="24"/>
          <w:shd w:val="clear" w:color="auto" w:fill="FFFFFF"/>
        </w:rPr>
        <w:t xml:space="preserve"> 2014.</w:t>
      </w:r>
    </w:p>
    <w:p w14:paraId="1DE397D1" w14:textId="6A1651AF" w:rsidR="0092759A" w:rsidRDefault="0092759A" w:rsidP="00196BD8">
      <w:pPr>
        <w:pStyle w:val="Voetnoottekst"/>
        <w:spacing w:line="276" w:lineRule="auto"/>
        <w:jc w:val="both"/>
        <w:rPr>
          <w:rFonts w:cs="Calibri"/>
          <w:color w:val="0D0D0D" w:themeColor="text1" w:themeTint="F2"/>
          <w:sz w:val="24"/>
          <w:szCs w:val="24"/>
          <w:shd w:val="clear" w:color="auto" w:fill="FFFFFF"/>
        </w:rPr>
      </w:pPr>
      <w:r w:rsidRPr="00280CB6">
        <w:rPr>
          <w:rFonts w:cs="Calibri"/>
          <w:color w:val="0D0D0D" w:themeColor="text1" w:themeTint="F2"/>
          <w:sz w:val="24"/>
          <w:szCs w:val="24"/>
          <w:shd w:val="clear" w:color="auto" w:fill="FFFFFF"/>
        </w:rPr>
        <w:t xml:space="preserve">M.Y. Schaub, </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De informatieplichten van de</w:t>
      </w:r>
      <w:r w:rsidRPr="00280CB6">
        <w:rPr>
          <w:rStyle w:val="apple-converted-space"/>
          <w:rFonts w:cs="Calibri"/>
          <w:color w:val="0D0D0D" w:themeColor="text1" w:themeTint="F2"/>
          <w:sz w:val="24"/>
          <w:szCs w:val="24"/>
          <w:shd w:val="clear" w:color="auto" w:fill="FFFFFF"/>
        </w:rPr>
        <w:t> </w:t>
      </w:r>
      <w:r w:rsidRPr="004F2E0E">
        <w:rPr>
          <w:rStyle w:val="wknlverwijzing"/>
          <w:rFonts w:cs="Calibri"/>
          <w:color w:val="0D0D0D" w:themeColor="text1" w:themeTint="F2"/>
          <w:sz w:val="24"/>
          <w:szCs w:val="24"/>
        </w:rPr>
        <w:t>Dienstenrichtlijn</w:t>
      </w:r>
      <w:r w:rsidRPr="00280CB6">
        <w:rPr>
          <w:rStyle w:val="apple-converted-space"/>
          <w:rFonts w:cs="Calibri"/>
          <w:color w:val="0D0D0D" w:themeColor="text1" w:themeTint="F2"/>
          <w:sz w:val="24"/>
          <w:szCs w:val="24"/>
          <w:shd w:val="clear" w:color="auto" w:fill="FFFFFF"/>
        </w:rPr>
        <w:t> </w:t>
      </w:r>
      <w:r w:rsidRPr="00280CB6">
        <w:rPr>
          <w:rFonts w:cs="Calibri"/>
          <w:color w:val="0D0D0D" w:themeColor="text1" w:themeTint="F2"/>
          <w:sz w:val="24"/>
          <w:szCs w:val="24"/>
          <w:shd w:val="clear" w:color="auto" w:fill="FFFFFF"/>
        </w:rPr>
        <w:t>(art. 6:230a-f BW)</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 xml:space="preserve">, </w:t>
      </w:r>
      <w:r w:rsidRPr="00274B7F">
        <w:rPr>
          <w:rFonts w:cs="Calibri"/>
          <w:i/>
          <w:iCs/>
          <w:color w:val="0D0D0D" w:themeColor="text1" w:themeTint="F2"/>
          <w:sz w:val="24"/>
          <w:szCs w:val="24"/>
          <w:shd w:val="clear" w:color="auto" w:fill="FFFFFF"/>
        </w:rPr>
        <w:t>TvCH</w:t>
      </w:r>
      <w:r w:rsidRPr="00280CB6">
        <w:rPr>
          <w:rFonts w:cs="Calibri"/>
          <w:color w:val="0D0D0D" w:themeColor="text1" w:themeTint="F2"/>
          <w:sz w:val="24"/>
          <w:szCs w:val="24"/>
          <w:shd w:val="clear" w:color="auto" w:fill="FFFFFF"/>
        </w:rPr>
        <w:t xml:space="preserve"> 2014/1</w:t>
      </w:r>
      <w:r>
        <w:rPr>
          <w:rFonts w:cs="Calibri"/>
          <w:color w:val="0D0D0D" w:themeColor="text1" w:themeTint="F2"/>
          <w:sz w:val="24"/>
          <w:szCs w:val="24"/>
          <w:shd w:val="clear" w:color="auto" w:fill="FFFFFF"/>
        </w:rPr>
        <w:t>.</w:t>
      </w:r>
    </w:p>
    <w:p w14:paraId="3F43F515" w14:textId="77777777" w:rsidR="0092759A" w:rsidRPr="00274B7F" w:rsidRDefault="0092759A" w:rsidP="00196BD8">
      <w:pPr>
        <w:pStyle w:val="Voetnoottekst"/>
        <w:spacing w:line="276" w:lineRule="auto"/>
        <w:jc w:val="both"/>
        <w:rPr>
          <w:rFonts w:cs="Calibri"/>
          <w:color w:val="0D0D0D" w:themeColor="text1" w:themeTint="F2"/>
          <w:sz w:val="24"/>
          <w:szCs w:val="24"/>
          <w:shd w:val="clear" w:color="auto" w:fill="FFFFFF"/>
        </w:rPr>
      </w:pPr>
    </w:p>
    <w:p w14:paraId="2D1DFD66" w14:textId="77777777" w:rsidR="0092759A" w:rsidRPr="00EC13EA" w:rsidRDefault="0092759A" w:rsidP="00196BD8">
      <w:pPr>
        <w:pStyle w:val="Voetnoottekst"/>
        <w:spacing w:line="276" w:lineRule="auto"/>
        <w:jc w:val="both"/>
        <w:rPr>
          <w:rFonts w:cs="Calibri"/>
          <w:b/>
          <w:bCs/>
          <w:color w:val="0D0D0D" w:themeColor="text1" w:themeTint="F2"/>
          <w:sz w:val="24"/>
          <w:szCs w:val="24"/>
        </w:rPr>
      </w:pPr>
      <w:r w:rsidRPr="00EC13EA">
        <w:rPr>
          <w:rFonts w:cs="Calibri"/>
          <w:b/>
          <w:bCs/>
          <w:color w:val="0D0D0D" w:themeColor="text1" w:themeTint="F2"/>
          <w:sz w:val="24"/>
          <w:szCs w:val="24"/>
        </w:rPr>
        <w:t>Schaub</w:t>
      </w:r>
      <w:r>
        <w:rPr>
          <w:rFonts w:cs="Calibri"/>
          <w:b/>
          <w:bCs/>
          <w:color w:val="0D0D0D" w:themeColor="text1" w:themeTint="F2"/>
          <w:sz w:val="24"/>
          <w:szCs w:val="24"/>
        </w:rPr>
        <w:t>,</w:t>
      </w:r>
      <w:r w:rsidRPr="00EC13EA">
        <w:rPr>
          <w:rFonts w:cs="Calibri"/>
          <w:b/>
          <w:bCs/>
          <w:color w:val="0D0D0D" w:themeColor="text1" w:themeTint="F2"/>
          <w:sz w:val="24"/>
          <w:szCs w:val="24"/>
        </w:rPr>
        <w:t xml:space="preserve"> </w:t>
      </w:r>
      <w:r w:rsidRPr="00EC13EA">
        <w:rPr>
          <w:rFonts w:cs="Calibri"/>
          <w:b/>
          <w:bCs/>
          <w:i/>
          <w:iCs/>
          <w:color w:val="0D0D0D" w:themeColor="text1" w:themeTint="F2"/>
          <w:sz w:val="24"/>
          <w:szCs w:val="24"/>
        </w:rPr>
        <w:t xml:space="preserve">Algemene voorwaarden </w:t>
      </w:r>
      <w:r w:rsidRPr="00EC13EA">
        <w:rPr>
          <w:rFonts w:cs="Calibri"/>
          <w:b/>
          <w:bCs/>
          <w:color w:val="0D0D0D" w:themeColor="text1" w:themeTint="F2"/>
          <w:sz w:val="24"/>
          <w:szCs w:val="24"/>
        </w:rPr>
        <w:t>2017.</w:t>
      </w:r>
    </w:p>
    <w:p w14:paraId="3528CEDD" w14:textId="38470A49" w:rsidR="008B3B31" w:rsidRDefault="0092759A" w:rsidP="00196BD8">
      <w:pPr>
        <w:pStyle w:val="Voetnoottekst"/>
        <w:spacing w:line="276" w:lineRule="auto"/>
        <w:jc w:val="both"/>
        <w:rPr>
          <w:rFonts w:cs="Calibri"/>
          <w:color w:val="0D0D0D" w:themeColor="text1" w:themeTint="F2"/>
          <w:sz w:val="24"/>
          <w:szCs w:val="24"/>
          <w:shd w:val="clear" w:color="auto" w:fill="FFFFFF"/>
        </w:rPr>
      </w:pPr>
      <w:r w:rsidRPr="00280CB6">
        <w:rPr>
          <w:rFonts w:cs="Calibri"/>
          <w:color w:val="0D0D0D" w:themeColor="text1" w:themeTint="F2"/>
          <w:sz w:val="24"/>
          <w:szCs w:val="24"/>
          <w:shd w:val="clear" w:color="auto" w:fill="FFFFFF"/>
        </w:rPr>
        <w:t xml:space="preserve">M.Y. Schaub, </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Algemene voorwaarden bij online contracteren met consumenten</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 in: B. Wessels e.a. (red.)</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 xml:space="preserve">, </w:t>
      </w:r>
      <w:r w:rsidRPr="006B217A">
        <w:rPr>
          <w:rFonts w:cs="Calibri"/>
          <w:i/>
          <w:iCs/>
          <w:color w:val="0D0D0D" w:themeColor="text1" w:themeTint="F2"/>
          <w:sz w:val="24"/>
          <w:szCs w:val="24"/>
          <w:shd w:val="clear" w:color="auto" w:fill="FFFFFF"/>
        </w:rPr>
        <w:t>Algemene voorwaarden</w:t>
      </w:r>
      <w:r w:rsidRPr="00280CB6">
        <w:rPr>
          <w:rFonts w:cs="Calibri"/>
          <w:color w:val="0D0D0D" w:themeColor="text1" w:themeTint="F2"/>
          <w:sz w:val="24"/>
          <w:szCs w:val="24"/>
          <w:shd w:val="clear" w:color="auto" w:fill="FFFFFF"/>
        </w:rPr>
        <w:t xml:space="preserve">, </w:t>
      </w:r>
      <w:r w:rsidR="0072129C">
        <w:rPr>
          <w:rFonts w:cs="Calibri"/>
          <w:color w:val="0D0D0D" w:themeColor="text1" w:themeTint="F2"/>
          <w:sz w:val="24"/>
          <w:szCs w:val="24"/>
          <w:shd w:val="clear" w:color="auto" w:fill="FFFFFF"/>
        </w:rPr>
        <w:t xml:space="preserve">Deventer: Wolters Kluwer </w:t>
      </w:r>
      <w:r w:rsidRPr="00280CB6">
        <w:rPr>
          <w:rFonts w:cs="Calibri"/>
          <w:color w:val="0D0D0D" w:themeColor="text1" w:themeTint="F2"/>
          <w:sz w:val="24"/>
          <w:szCs w:val="24"/>
          <w:shd w:val="clear" w:color="auto" w:fill="FFFFFF"/>
        </w:rPr>
        <w:t>2017</w:t>
      </w:r>
      <w:r>
        <w:rPr>
          <w:rFonts w:cs="Calibri"/>
          <w:color w:val="0D0D0D" w:themeColor="text1" w:themeTint="F2"/>
          <w:sz w:val="24"/>
          <w:szCs w:val="24"/>
          <w:shd w:val="clear" w:color="auto" w:fill="FFFFFF"/>
        </w:rPr>
        <w:t>.</w:t>
      </w:r>
    </w:p>
    <w:p w14:paraId="5CAD6D05" w14:textId="77777777" w:rsidR="006C68C5" w:rsidRDefault="006C68C5" w:rsidP="00196BD8">
      <w:pPr>
        <w:pStyle w:val="Voetnoottekst"/>
        <w:spacing w:line="276" w:lineRule="auto"/>
        <w:jc w:val="both"/>
        <w:rPr>
          <w:rFonts w:cs="Calibri"/>
          <w:color w:val="0D0D0D" w:themeColor="text1" w:themeTint="F2"/>
          <w:sz w:val="24"/>
          <w:szCs w:val="24"/>
          <w:shd w:val="clear" w:color="auto" w:fill="FFFFFF"/>
        </w:rPr>
      </w:pPr>
    </w:p>
    <w:p w14:paraId="49465939" w14:textId="7F7E9B40" w:rsidR="00B25435" w:rsidRPr="001538E8" w:rsidRDefault="00FD0B4E" w:rsidP="00196BD8">
      <w:pPr>
        <w:pStyle w:val="Voetnoottekst"/>
        <w:spacing w:line="276" w:lineRule="auto"/>
        <w:jc w:val="both"/>
        <w:rPr>
          <w:rFonts w:cs="Calibri"/>
          <w:b/>
          <w:bCs/>
          <w:color w:val="0D0D0D" w:themeColor="text1" w:themeTint="F2"/>
          <w:sz w:val="24"/>
          <w:szCs w:val="24"/>
          <w:shd w:val="clear" w:color="auto" w:fill="FFFFFF"/>
        </w:rPr>
      </w:pPr>
      <w:r w:rsidRPr="001538E8">
        <w:rPr>
          <w:rFonts w:cs="Calibri"/>
          <w:b/>
          <w:bCs/>
          <w:color w:val="0D0D0D" w:themeColor="text1" w:themeTint="F2"/>
          <w:sz w:val="24"/>
          <w:szCs w:val="24"/>
          <w:shd w:val="clear" w:color="auto" w:fill="FFFFFF"/>
        </w:rPr>
        <w:t xml:space="preserve">Spanjaard, </w:t>
      </w:r>
      <w:r w:rsidRPr="0047318F">
        <w:rPr>
          <w:rFonts w:cs="Calibri"/>
          <w:b/>
          <w:bCs/>
          <w:i/>
          <w:iCs/>
          <w:color w:val="0D0D0D" w:themeColor="text1" w:themeTint="F2"/>
          <w:sz w:val="24"/>
          <w:szCs w:val="24"/>
          <w:shd w:val="clear" w:color="auto" w:fill="FFFFFF"/>
        </w:rPr>
        <w:t>GS Verbintenissenrecht</w:t>
      </w:r>
      <w:r w:rsidRPr="001538E8">
        <w:rPr>
          <w:rFonts w:cs="Calibri"/>
          <w:b/>
          <w:bCs/>
          <w:color w:val="0D0D0D" w:themeColor="text1" w:themeTint="F2"/>
          <w:sz w:val="24"/>
          <w:szCs w:val="24"/>
          <w:shd w:val="clear" w:color="auto" w:fill="FFFFFF"/>
        </w:rPr>
        <w:t>, art.</w:t>
      </w:r>
      <w:r w:rsidR="001538E8" w:rsidRPr="001538E8">
        <w:rPr>
          <w:rFonts w:cs="Calibri"/>
          <w:b/>
          <w:bCs/>
          <w:color w:val="0D0D0D" w:themeColor="text1" w:themeTint="F2"/>
          <w:sz w:val="24"/>
          <w:szCs w:val="24"/>
          <w:shd w:val="clear" w:color="auto" w:fill="FFFFFF"/>
        </w:rPr>
        <w:t xml:space="preserve"> 6:230a BW.</w:t>
      </w:r>
    </w:p>
    <w:p w14:paraId="09A6AC9C" w14:textId="06C311B8" w:rsidR="00B25435" w:rsidRDefault="00C350B8" w:rsidP="00196BD8">
      <w:pPr>
        <w:pStyle w:val="Voetnoottekst"/>
        <w:spacing w:line="276" w:lineRule="auto"/>
        <w:jc w:val="both"/>
        <w:rPr>
          <w:rFonts w:cs="Calibri"/>
          <w:color w:val="0D0D0D" w:themeColor="text1" w:themeTint="F2"/>
          <w:sz w:val="24"/>
          <w:szCs w:val="24"/>
          <w:shd w:val="clear" w:color="auto" w:fill="FFFFFF"/>
        </w:rPr>
      </w:pPr>
      <w:r>
        <w:rPr>
          <w:rFonts w:cs="Calibri"/>
          <w:color w:val="0D0D0D" w:themeColor="text1" w:themeTint="F2"/>
          <w:sz w:val="24"/>
          <w:szCs w:val="24"/>
          <w:shd w:val="clear" w:color="auto" w:fill="FFFFFF"/>
        </w:rPr>
        <w:t xml:space="preserve">J.H.M. Spanjaard, </w:t>
      </w:r>
      <w:r w:rsidR="00D47B22">
        <w:rPr>
          <w:rFonts w:cs="Calibri"/>
          <w:color w:val="0D0D0D" w:themeColor="text1" w:themeTint="F2"/>
          <w:sz w:val="24"/>
          <w:szCs w:val="24"/>
          <w:shd w:val="clear" w:color="auto" w:fill="FFFFFF"/>
        </w:rPr>
        <w:t>‘</w:t>
      </w:r>
      <w:r>
        <w:rPr>
          <w:rFonts w:cs="Calibri"/>
          <w:color w:val="0D0D0D" w:themeColor="text1" w:themeTint="F2"/>
          <w:sz w:val="24"/>
          <w:szCs w:val="24"/>
          <w:shd w:val="clear" w:color="auto" w:fill="FFFFFF"/>
        </w:rPr>
        <w:t xml:space="preserve">Commentaar op </w:t>
      </w:r>
      <w:r w:rsidR="00D47B22">
        <w:rPr>
          <w:rFonts w:cs="Calibri"/>
          <w:color w:val="0D0D0D" w:themeColor="text1" w:themeTint="F2"/>
          <w:sz w:val="24"/>
          <w:szCs w:val="24"/>
          <w:shd w:val="clear" w:color="auto" w:fill="FFFFFF"/>
        </w:rPr>
        <w:t xml:space="preserve">art. 6:230a BW’, in: </w:t>
      </w:r>
      <w:r w:rsidR="008F365E">
        <w:rPr>
          <w:rFonts w:cs="Calibri"/>
          <w:color w:val="0D0D0D" w:themeColor="text1" w:themeTint="F2"/>
          <w:sz w:val="24"/>
          <w:szCs w:val="24"/>
          <w:shd w:val="clear" w:color="auto" w:fill="FFFFFF"/>
        </w:rPr>
        <w:t>R.J.Q. Klomp &amp; H.N.</w:t>
      </w:r>
      <w:r w:rsidR="00B25435">
        <w:rPr>
          <w:rFonts w:cs="Calibri"/>
          <w:color w:val="0D0D0D" w:themeColor="text1" w:themeTint="F2"/>
          <w:sz w:val="24"/>
          <w:szCs w:val="24"/>
          <w:shd w:val="clear" w:color="auto" w:fill="FFFFFF"/>
        </w:rPr>
        <w:t xml:space="preserve"> Schelhaas (red.), </w:t>
      </w:r>
      <w:r w:rsidR="00B25435" w:rsidRPr="0047318F">
        <w:rPr>
          <w:rFonts w:cs="Calibri"/>
          <w:i/>
          <w:iCs/>
          <w:color w:val="0D0D0D" w:themeColor="text1" w:themeTint="F2"/>
          <w:sz w:val="24"/>
          <w:szCs w:val="24"/>
          <w:shd w:val="clear" w:color="auto" w:fill="FFFFFF"/>
        </w:rPr>
        <w:t>Groene serie verbintenissenrecht</w:t>
      </w:r>
      <w:r w:rsidR="00B25435">
        <w:rPr>
          <w:rFonts w:cs="Calibri"/>
          <w:color w:val="0D0D0D" w:themeColor="text1" w:themeTint="F2"/>
          <w:sz w:val="24"/>
          <w:szCs w:val="24"/>
          <w:shd w:val="clear" w:color="auto" w:fill="FFFFFF"/>
        </w:rPr>
        <w:t>, Deventer: Wolters Kluwer.</w:t>
      </w:r>
    </w:p>
    <w:p w14:paraId="23D025A2" w14:textId="77777777" w:rsidR="0092759A" w:rsidRPr="005E5424" w:rsidRDefault="0092759A" w:rsidP="00196BD8">
      <w:pPr>
        <w:pStyle w:val="Voetnoottekst"/>
        <w:spacing w:line="276" w:lineRule="auto"/>
        <w:jc w:val="both"/>
        <w:rPr>
          <w:rFonts w:cs="Calibri"/>
          <w:b/>
          <w:bCs/>
          <w:color w:val="0D0D0D" w:themeColor="text1" w:themeTint="F2"/>
          <w:sz w:val="24"/>
          <w:szCs w:val="24"/>
          <w:shd w:val="clear" w:color="auto" w:fill="FFFFFF"/>
        </w:rPr>
      </w:pPr>
      <w:r w:rsidRPr="005E5424">
        <w:rPr>
          <w:rFonts w:cs="Calibri"/>
          <w:b/>
          <w:bCs/>
          <w:color w:val="0D0D0D" w:themeColor="text1" w:themeTint="F2"/>
          <w:sz w:val="24"/>
          <w:szCs w:val="24"/>
          <w:shd w:val="clear" w:color="auto" w:fill="FFFFFF"/>
        </w:rPr>
        <w:lastRenderedPageBreak/>
        <w:t xml:space="preserve">Spanjaard, </w:t>
      </w:r>
      <w:r w:rsidRPr="005E5424">
        <w:rPr>
          <w:rFonts w:cs="Calibri"/>
          <w:b/>
          <w:bCs/>
          <w:i/>
          <w:iCs/>
          <w:color w:val="0D0D0D" w:themeColor="text1" w:themeTint="F2"/>
          <w:sz w:val="24"/>
          <w:szCs w:val="24"/>
          <w:shd w:val="clear" w:color="auto" w:fill="FFFFFF"/>
        </w:rPr>
        <w:t>Contracteren</w:t>
      </w:r>
      <w:r w:rsidRPr="005E5424">
        <w:rPr>
          <w:rFonts w:cs="Calibri"/>
          <w:b/>
          <w:bCs/>
          <w:color w:val="0D0D0D" w:themeColor="text1" w:themeTint="F2"/>
          <w:sz w:val="24"/>
          <w:szCs w:val="24"/>
          <w:shd w:val="clear" w:color="auto" w:fill="FFFFFF"/>
        </w:rPr>
        <w:t xml:space="preserve"> 2012.</w:t>
      </w:r>
    </w:p>
    <w:p w14:paraId="03407A9E" w14:textId="201A29FD" w:rsidR="0092759A" w:rsidRPr="00280CB6" w:rsidRDefault="0092759A" w:rsidP="00196BD8">
      <w:pPr>
        <w:pStyle w:val="Voetnoottekst"/>
        <w:spacing w:line="276" w:lineRule="auto"/>
        <w:jc w:val="both"/>
        <w:rPr>
          <w:rFonts w:cs="Calibri"/>
          <w:i/>
          <w:iCs/>
          <w:color w:val="0D0D0D" w:themeColor="text1" w:themeTint="F2"/>
          <w:sz w:val="24"/>
          <w:szCs w:val="24"/>
          <w:shd w:val="clear" w:color="auto" w:fill="FFFFFF"/>
        </w:rPr>
      </w:pPr>
      <w:r w:rsidRPr="00280CB6">
        <w:rPr>
          <w:rFonts w:cs="Calibri"/>
          <w:color w:val="0D0D0D" w:themeColor="text1" w:themeTint="F2"/>
          <w:sz w:val="24"/>
          <w:szCs w:val="24"/>
          <w:shd w:val="clear" w:color="auto" w:fill="FFFFFF"/>
        </w:rPr>
        <w:t>J.H.M. Spanjaard, ‘Artikel 6:234 BW of de moeizame relatie van de Nederlandse wetgever Met Europese regelgeving</w:t>
      </w:r>
      <w:r w:rsidR="00D84FF1">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 xml:space="preserve">, </w:t>
      </w:r>
      <w:r w:rsidRPr="00280CB6">
        <w:rPr>
          <w:rFonts w:cs="Calibri"/>
          <w:i/>
          <w:iCs/>
          <w:color w:val="0D0D0D" w:themeColor="text1" w:themeTint="F2"/>
          <w:sz w:val="24"/>
          <w:szCs w:val="24"/>
          <w:shd w:val="clear" w:color="auto" w:fill="FFFFFF"/>
        </w:rPr>
        <w:t>Contracteren</w:t>
      </w:r>
      <w:r w:rsidRPr="00280CB6">
        <w:rPr>
          <w:rFonts w:cs="Calibri"/>
          <w:color w:val="0D0D0D" w:themeColor="text1" w:themeTint="F2"/>
          <w:sz w:val="24"/>
          <w:szCs w:val="24"/>
          <w:shd w:val="clear" w:color="auto" w:fill="FFFFFF"/>
        </w:rPr>
        <w:t xml:space="preserve"> 2012/1</w:t>
      </w:r>
      <w:r w:rsidRPr="00280CB6">
        <w:rPr>
          <w:rFonts w:cs="Calibri"/>
          <w:i/>
          <w:iCs/>
          <w:color w:val="0D0D0D" w:themeColor="text1" w:themeTint="F2"/>
          <w:sz w:val="24"/>
          <w:szCs w:val="24"/>
          <w:shd w:val="clear" w:color="auto" w:fill="FFFFFF"/>
        </w:rPr>
        <w:t>.</w:t>
      </w:r>
    </w:p>
    <w:p w14:paraId="5BACACCE" w14:textId="77777777" w:rsidR="0092759A" w:rsidRDefault="0092759A" w:rsidP="00196BD8">
      <w:pPr>
        <w:pStyle w:val="Voetnoottekst"/>
        <w:spacing w:line="276" w:lineRule="auto"/>
        <w:jc w:val="both"/>
        <w:rPr>
          <w:rFonts w:cs="Calibri"/>
          <w:color w:val="0D0D0D" w:themeColor="text1" w:themeTint="F2"/>
          <w:sz w:val="24"/>
          <w:szCs w:val="24"/>
          <w:shd w:val="clear" w:color="auto" w:fill="FFFFFF"/>
        </w:rPr>
      </w:pPr>
    </w:p>
    <w:p w14:paraId="0A6E3787" w14:textId="77777777" w:rsidR="0092759A" w:rsidRPr="005E5424" w:rsidRDefault="0092759A" w:rsidP="00196BD8">
      <w:pPr>
        <w:pStyle w:val="Voetnoottekst"/>
        <w:spacing w:line="276" w:lineRule="auto"/>
        <w:jc w:val="both"/>
        <w:rPr>
          <w:rFonts w:cs="Calibri"/>
          <w:b/>
          <w:bCs/>
          <w:color w:val="0D0D0D" w:themeColor="text1" w:themeTint="F2"/>
          <w:sz w:val="24"/>
          <w:szCs w:val="24"/>
          <w:shd w:val="clear" w:color="auto" w:fill="FFFFFF"/>
        </w:rPr>
      </w:pPr>
      <w:r w:rsidRPr="005E5424">
        <w:rPr>
          <w:rFonts w:cs="Calibri"/>
          <w:b/>
          <w:bCs/>
          <w:color w:val="0D0D0D" w:themeColor="text1" w:themeTint="F2"/>
          <w:sz w:val="24"/>
          <w:szCs w:val="24"/>
          <w:shd w:val="clear" w:color="auto" w:fill="FFFFFF"/>
        </w:rPr>
        <w:t xml:space="preserve">Spanjaard, </w:t>
      </w:r>
      <w:r w:rsidRPr="005E5424">
        <w:rPr>
          <w:rFonts w:cs="Calibri"/>
          <w:b/>
          <w:bCs/>
          <w:i/>
          <w:iCs/>
          <w:color w:val="0D0D0D" w:themeColor="text1" w:themeTint="F2"/>
          <w:sz w:val="24"/>
          <w:szCs w:val="24"/>
          <w:shd w:val="clear" w:color="auto" w:fill="FFFFFF"/>
        </w:rPr>
        <w:t>ORP</w:t>
      </w:r>
      <w:r w:rsidRPr="005E5424">
        <w:rPr>
          <w:rFonts w:cs="Calibri"/>
          <w:b/>
          <w:bCs/>
          <w:color w:val="0D0D0D" w:themeColor="text1" w:themeTint="F2"/>
          <w:sz w:val="24"/>
          <w:szCs w:val="24"/>
          <w:shd w:val="clear" w:color="auto" w:fill="FFFFFF"/>
        </w:rPr>
        <w:t xml:space="preserve"> 2013.</w:t>
      </w:r>
    </w:p>
    <w:p w14:paraId="4154F49C" w14:textId="77777777" w:rsidR="0092759A" w:rsidRDefault="0092759A" w:rsidP="00196BD8">
      <w:pPr>
        <w:pStyle w:val="Voetnoottekst"/>
        <w:spacing w:line="276" w:lineRule="auto"/>
        <w:jc w:val="both"/>
        <w:rPr>
          <w:rFonts w:cs="Calibri"/>
          <w:color w:val="0D0D0D" w:themeColor="text1" w:themeTint="F2"/>
          <w:sz w:val="24"/>
          <w:szCs w:val="24"/>
          <w:shd w:val="clear" w:color="auto" w:fill="FFFFFF"/>
        </w:rPr>
      </w:pPr>
      <w:r w:rsidRPr="00280CB6">
        <w:rPr>
          <w:rFonts w:cs="Calibri"/>
          <w:color w:val="0D0D0D" w:themeColor="text1" w:themeTint="F2"/>
          <w:sz w:val="24"/>
          <w:szCs w:val="24"/>
          <w:shd w:val="clear" w:color="auto" w:fill="FFFFFF"/>
        </w:rPr>
        <w:t xml:space="preserve"> J.H.M. Spanjaard, </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Dienstverrichters: wat te doen?</w:t>
      </w:r>
      <w:r>
        <w:rPr>
          <w:rFonts w:cs="Calibri"/>
          <w:color w:val="0D0D0D" w:themeColor="text1" w:themeTint="F2"/>
          <w:sz w:val="24"/>
          <w:szCs w:val="24"/>
          <w:shd w:val="clear" w:color="auto" w:fill="FFFFFF"/>
        </w:rPr>
        <w:t>’</w:t>
      </w:r>
      <w:r w:rsidRPr="00280CB6">
        <w:rPr>
          <w:rFonts w:cs="Calibri"/>
          <w:color w:val="0D0D0D" w:themeColor="text1" w:themeTint="F2"/>
          <w:sz w:val="24"/>
          <w:szCs w:val="24"/>
          <w:shd w:val="clear" w:color="auto" w:fill="FFFFFF"/>
        </w:rPr>
        <w:t>,</w:t>
      </w:r>
      <w:r w:rsidRPr="00280CB6">
        <w:rPr>
          <w:rStyle w:val="apple-converted-space"/>
          <w:rFonts w:cs="Calibri"/>
          <w:color w:val="0D0D0D" w:themeColor="text1" w:themeTint="F2"/>
          <w:sz w:val="24"/>
          <w:szCs w:val="24"/>
          <w:shd w:val="clear" w:color="auto" w:fill="FFFFFF"/>
        </w:rPr>
        <w:t> </w:t>
      </w:r>
      <w:r w:rsidRPr="00280CB6">
        <w:rPr>
          <w:rStyle w:val="Nadruk"/>
          <w:rFonts w:cs="Calibri"/>
          <w:color w:val="0D0D0D" w:themeColor="text1" w:themeTint="F2"/>
          <w:sz w:val="24"/>
          <w:szCs w:val="24"/>
        </w:rPr>
        <w:t>ORP</w:t>
      </w:r>
      <w:r w:rsidRPr="00280CB6">
        <w:rPr>
          <w:rStyle w:val="apple-converted-space"/>
          <w:rFonts w:cs="Calibri"/>
          <w:color w:val="0D0D0D" w:themeColor="text1" w:themeTint="F2"/>
          <w:sz w:val="24"/>
          <w:szCs w:val="24"/>
          <w:shd w:val="clear" w:color="auto" w:fill="FFFFFF"/>
        </w:rPr>
        <w:t> </w:t>
      </w:r>
      <w:r w:rsidRPr="00280CB6">
        <w:rPr>
          <w:rFonts w:cs="Calibri"/>
          <w:color w:val="0D0D0D" w:themeColor="text1" w:themeTint="F2"/>
          <w:sz w:val="24"/>
          <w:szCs w:val="24"/>
          <w:shd w:val="clear" w:color="auto" w:fill="FFFFFF"/>
        </w:rPr>
        <w:t>2013/4</w:t>
      </w:r>
      <w:r>
        <w:rPr>
          <w:rFonts w:cs="Calibri"/>
          <w:color w:val="0D0D0D" w:themeColor="text1" w:themeTint="F2"/>
          <w:sz w:val="24"/>
          <w:szCs w:val="24"/>
          <w:shd w:val="clear" w:color="auto" w:fill="FFFFFF"/>
        </w:rPr>
        <w:t>.</w:t>
      </w:r>
    </w:p>
    <w:p w14:paraId="7338D1D8" w14:textId="77777777" w:rsidR="0092759A" w:rsidRDefault="0092759A" w:rsidP="00196BD8">
      <w:pPr>
        <w:pStyle w:val="Voetnoottekst"/>
        <w:spacing w:line="276" w:lineRule="auto"/>
        <w:jc w:val="both"/>
        <w:rPr>
          <w:rFonts w:cs="Calibri"/>
          <w:color w:val="0D0D0D" w:themeColor="text1" w:themeTint="F2"/>
          <w:sz w:val="24"/>
          <w:szCs w:val="24"/>
          <w:shd w:val="clear" w:color="auto" w:fill="FFFFFF"/>
        </w:rPr>
      </w:pPr>
    </w:p>
    <w:p w14:paraId="65D74F1E" w14:textId="77777777" w:rsidR="0092759A" w:rsidRPr="00C4067D" w:rsidRDefault="0092759A" w:rsidP="00196BD8">
      <w:pPr>
        <w:spacing w:after="0" w:line="276" w:lineRule="auto"/>
        <w:jc w:val="both"/>
        <w:rPr>
          <w:b/>
          <w:bCs/>
          <w:color w:val="0D0D0D" w:themeColor="text1" w:themeTint="F2"/>
          <w:shd w:val="clear" w:color="auto" w:fill="FFFFFF"/>
        </w:rPr>
      </w:pPr>
      <w:r w:rsidRPr="00C4067D">
        <w:rPr>
          <w:b/>
          <w:bCs/>
          <w:color w:val="0D0D0D" w:themeColor="text1" w:themeTint="F2"/>
          <w:shd w:val="clear" w:color="auto" w:fill="FFFFFF"/>
        </w:rPr>
        <w:t xml:space="preserve">Spanjaard, </w:t>
      </w:r>
      <w:r w:rsidRPr="00C4067D">
        <w:rPr>
          <w:b/>
          <w:bCs/>
          <w:i/>
          <w:iCs/>
          <w:color w:val="0D0D0D" w:themeColor="text1" w:themeTint="F2"/>
          <w:shd w:val="clear" w:color="auto" w:fill="FFFFFF"/>
        </w:rPr>
        <w:t>Contracteren</w:t>
      </w:r>
      <w:r w:rsidRPr="00C4067D">
        <w:rPr>
          <w:b/>
          <w:bCs/>
          <w:color w:val="0D0D0D" w:themeColor="text1" w:themeTint="F2"/>
          <w:shd w:val="clear" w:color="auto" w:fill="FFFFFF"/>
        </w:rPr>
        <w:t xml:space="preserve"> 2018.</w:t>
      </w:r>
    </w:p>
    <w:p w14:paraId="10031149" w14:textId="5B7893EB" w:rsidR="0092759A" w:rsidRDefault="0092759A" w:rsidP="00196BD8">
      <w:pPr>
        <w:spacing w:line="276" w:lineRule="auto"/>
        <w:jc w:val="both"/>
        <w:rPr>
          <w:color w:val="0D0D0D" w:themeColor="text1" w:themeTint="F2"/>
          <w:shd w:val="clear" w:color="auto" w:fill="FFFFFF"/>
        </w:rPr>
      </w:pPr>
      <w:r w:rsidRPr="00280CB6">
        <w:rPr>
          <w:color w:val="0D0D0D" w:themeColor="text1" w:themeTint="F2"/>
          <w:shd w:val="clear" w:color="auto" w:fill="FFFFFF"/>
        </w:rPr>
        <w:t>J.H.M. Spanjaard, ‘Detailhandelaren en leveranciers in distributieland treden toe tot het walhalla van de</w:t>
      </w:r>
      <w:r w:rsidRPr="00280CB6">
        <w:rPr>
          <w:rStyle w:val="apple-converted-space"/>
          <w:color w:val="0D0D0D" w:themeColor="text1" w:themeTint="F2"/>
          <w:shd w:val="clear" w:color="auto" w:fill="FFFFFF"/>
        </w:rPr>
        <w:t> </w:t>
      </w:r>
      <w:r w:rsidRPr="00824A77">
        <w:rPr>
          <w:rStyle w:val="wknlverwijzing"/>
          <w:color w:val="0D0D0D" w:themeColor="text1" w:themeTint="F2"/>
        </w:rPr>
        <w:t>Dienstenrichtlijn</w:t>
      </w:r>
      <w:r w:rsidRPr="00824A77">
        <w:rPr>
          <w:color w:val="0D0D0D" w:themeColor="text1" w:themeTint="F2"/>
          <w:shd w:val="clear" w:color="auto" w:fill="FFFFFF"/>
        </w:rPr>
        <w:t>’</w:t>
      </w:r>
      <w:r w:rsidRPr="00280CB6">
        <w:rPr>
          <w:color w:val="0D0D0D" w:themeColor="text1" w:themeTint="F2"/>
          <w:shd w:val="clear" w:color="auto" w:fill="FFFFFF"/>
        </w:rPr>
        <w:t>,</w:t>
      </w:r>
      <w:r w:rsidRPr="00280CB6">
        <w:rPr>
          <w:rStyle w:val="apple-converted-space"/>
          <w:color w:val="0D0D0D" w:themeColor="text1" w:themeTint="F2"/>
          <w:shd w:val="clear" w:color="auto" w:fill="FFFFFF"/>
        </w:rPr>
        <w:t> </w:t>
      </w:r>
      <w:r w:rsidRPr="00280CB6">
        <w:rPr>
          <w:rStyle w:val="Nadruk"/>
          <w:color w:val="0D0D0D" w:themeColor="text1" w:themeTint="F2"/>
        </w:rPr>
        <w:t>Contracteren</w:t>
      </w:r>
      <w:r w:rsidRPr="00280CB6">
        <w:rPr>
          <w:rStyle w:val="apple-converted-space"/>
          <w:i/>
          <w:iCs/>
          <w:color w:val="0D0D0D" w:themeColor="text1" w:themeTint="F2"/>
        </w:rPr>
        <w:t> </w:t>
      </w:r>
      <w:r w:rsidRPr="00280CB6">
        <w:rPr>
          <w:color w:val="0D0D0D" w:themeColor="text1" w:themeTint="F2"/>
          <w:shd w:val="clear" w:color="auto" w:fill="FFFFFF"/>
        </w:rPr>
        <w:t>2018/2</w:t>
      </w:r>
      <w:r>
        <w:rPr>
          <w:color w:val="0D0D0D" w:themeColor="text1" w:themeTint="F2"/>
          <w:shd w:val="clear" w:color="auto" w:fill="FFFFFF"/>
        </w:rPr>
        <w:t>.</w:t>
      </w:r>
    </w:p>
    <w:p w14:paraId="60BAD9C3" w14:textId="77777777" w:rsidR="0092759A" w:rsidRPr="003A073F" w:rsidRDefault="0092759A" w:rsidP="00196BD8">
      <w:pPr>
        <w:spacing w:after="0" w:line="276" w:lineRule="auto"/>
        <w:jc w:val="both"/>
        <w:rPr>
          <w:b/>
          <w:bCs/>
          <w:color w:val="0D0D0D" w:themeColor="text1" w:themeTint="F2"/>
          <w:shd w:val="clear" w:color="auto" w:fill="FFFFFF"/>
        </w:rPr>
      </w:pPr>
      <w:r w:rsidRPr="003A073F">
        <w:rPr>
          <w:b/>
          <w:bCs/>
          <w:color w:val="0D0D0D" w:themeColor="text1" w:themeTint="F2"/>
          <w:shd w:val="clear" w:color="auto" w:fill="FFFFFF"/>
        </w:rPr>
        <w:t xml:space="preserve">Spanjaard, </w:t>
      </w:r>
      <w:r w:rsidRPr="003A073F">
        <w:rPr>
          <w:b/>
          <w:bCs/>
          <w:i/>
          <w:iCs/>
          <w:color w:val="0D0D0D" w:themeColor="text1" w:themeTint="F2"/>
          <w:shd w:val="clear" w:color="auto" w:fill="FFFFFF"/>
        </w:rPr>
        <w:t>TvC</w:t>
      </w:r>
      <w:r w:rsidRPr="003A073F">
        <w:rPr>
          <w:b/>
          <w:bCs/>
          <w:color w:val="0D0D0D" w:themeColor="text1" w:themeTint="F2"/>
          <w:shd w:val="clear" w:color="auto" w:fill="FFFFFF"/>
        </w:rPr>
        <w:t xml:space="preserve"> 2016.</w:t>
      </w:r>
    </w:p>
    <w:p w14:paraId="5F09F7BB" w14:textId="5D533676" w:rsidR="0025497B" w:rsidRDefault="0092759A" w:rsidP="00196BD8">
      <w:pPr>
        <w:spacing w:line="276" w:lineRule="auto"/>
        <w:jc w:val="both"/>
        <w:rPr>
          <w:color w:val="0D0D0D" w:themeColor="text1" w:themeTint="F2"/>
        </w:rPr>
      </w:pPr>
      <w:r w:rsidRPr="00280CB6">
        <w:rPr>
          <w:color w:val="0D0D0D" w:themeColor="text1" w:themeTint="F2"/>
        </w:rPr>
        <w:t>J.H.M. Spanjaard, 'Kroniek algemene voorwaarden 2015-2016',</w:t>
      </w:r>
      <w:r w:rsidRPr="00280CB6">
        <w:rPr>
          <w:rStyle w:val="apple-converted-space"/>
          <w:color w:val="0D0D0D" w:themeColor="text1" w:themeTint="F2"/>
        </w:rPr>
        <w:t> </w:t>
      </w:r>
      <w:r w:rsidRPr="00280CB6">
        <w:rPr>
          <w:rStyle w:val="Nadruk"/>
          <w:color w:val="0D0D0D" w:themeColor="text1" w:themeTint="F2"/>
        </w:rPr>
        <w:t xml:space="preserve">TvC </w:t>
      </w:r>
      <w:r w:rsidRPr="00824A77">
        <w:rPr>
          <w:rStyle w:val="Nadruk"/>
          <w:i w:val="0"/>
          <w:iCs w:val="0"/>
          <w:color w:val="0D0D0D" w:themeColor="text1" w:themeTint="F2"/>
        </w:rPr>
        <w:t>2016/6</w:t>
      </w:r>
      <w:r>
        <w:rPr>
          <w:color w:val="0D0D0D" w:themeColor="text1" w:themeTint="F2"/>
        </w:rPr>
        <w:t>.</w:t>
      </w:r>
    </w:p>
    <w:p w14:paraId="043E4D4D" w14:textId="77777777" w:rsidR="0092759A" w:rsidRPr="00586BFC" w:rsidRDefault="0092759A" w:rsidP="00196BD8">
      <w:pPr>
        <w:spacing w:after="0" w:line="276" w:lineRule="auto"/>
        <w:jc w:val="both"/>
        <w:rPr>
          <w:b/>
          <w:bCs/>
          <w:color w:val="0D0D0D" w:themeColor="text1" w:themeTint="F2"/>
        </w:rPr>
      </w:pPr>
      <w:r w:rsidRPr="00586BFC">
        <w:rPr>
          <w:b/>
          <w:bCs/>
          <w:color w:val="0D0D0D" w:themeColor="text1" w:themeTint="F2"/>
        </w:rPr>
        <w:t xml:space="preserve">Spanjaard, </w:t>
      </w:r>
      <w:r w:rsidRPr="00586BFC">
        <w:rPr>
          <w:b/>
          <w:bCs/>
          <w:i/>
          <w:iCs/>
          <w:color w:val="0D0D0D" w:themeColor="text1" w:themeTint="F2"/>
        </w:rPr>
        <w:t>ORP</w:t>
      </w:r>
      <w:r w:rsidRPr="00586BFC">
        <w:rPr>
          <w:b/>
          <w:bCs/>
          <w:color w:val="0D0D0D" w:themeColor="text1" w:themeTint="F2"/>
        </w:rPr>
        <w:t xml:space="preserve"> 2012.</w:t>
      </w:r>
    </w:p>
    <w:p w14:paraId="51D1F60E" w14:textId="363010F7" w:rsidR="0092759A" w:rsidRPr="009F698D" w:rsidRDefault="0092759A" w:rsidP="00196BD8">
      <w:pPr>
        <w:spacing w:line="276" w:lineRule="auto"/>
        <w:jc w:val="both"/>
        <w:rPr>
          <w:rFonts w:cs="Arial"/>
          <w:color w:val="333333"/>
          <w:shd w:val="clear" w:color="auto" w:fill="FFFFFF"/>
        </w:rPr>
      </w:pPr>
      <w:r w:rsidRPr="00586BFC">
        <w:rPr>
          <w:rFonts w:cs="Arial"/>
          <w:color w:val="333333"/>
          <w:shd w:val="clear" w:color="auto" w:fill="FFFFFF"/>
        </w:rPr>
        <w:t xml:space="preserve">J.H.M. Spanjaard, </w:t>
      </w:r>
      <w:r>
        <w:rPr>
          <w:rFonts w:cs="Arial"/>
          <w:color w:val="333333"/>
          <w:shd w:val="clear" w:color="auto" w:fill="FFFFFF"/>
        </w:rPr>
        <w:t>‘</w:t>
      </w:r>
      <w:r w:rsidRPr="00586BFC">
        <w:rPr>
          <w:rFonts w:cs="Arial"/>
          <w:color w:val="333333"/>
          <w:shd w:val="clear" w:color="auto" w:fill="FFFFFF"/>
        </w:rPr>
        <w:t>Aan de toepasselijkheid van algemene voorwaarden is niets algemeens</w:t>
      </w:r>
      <w:r>
        <w:rPr>
          <w:rFonts w:cs="Arial"/>
          <w:color w:val="333333"/>
          <w:shd w:val="clear" w:color="auto" w:fill="FFFFFF"/>
        </w:rPr>
        <w:t>’</w:t>
      </w:r>
      <w:r w:rsidRPr="00586BFC">
        <w:rPr>
          <w:rFonts w:cs="Arial"/>
          <w:color w:val="333333"/>
          <w:shd w:val="clear" w:color="auto" w:fill="FFFFFF"/>
        </w:rPr>
        <w:t xml:space="preserve">, </w:t>
      </w:r>
      <w:r w:rsidRPr="000058FF">
        <w:rPr>
          <w:rFonts w:cs="Arial"/>
          <w:i/>
          <w:iCs/>
          <w:color w:val="333333"/>
          <w:shd w:val="clear" w:color="auto" w:fill="FFFFFF"/>
        </w:rPr>
        <w:t>ORP</w:t>
      </w:r>
      <w:r w:rsidRPr="00586BFC">
        <w:rPr>
          <w:rFonts w:cs="Arial"/>
          <w:color w:val="333333"/>
          <w:shd w:val="clear" w:color="auto" w:fill="FFFFFF"/>
        </w:rPr>
        <w:t xml:space="preserve"> 2012/4</w:t>
      </w:r>
    </w:p>
    <w:p w14:paraId="7ED94921" w14:textId="0243A218" w:rsidR="0092759A" w:rsidRPr="007A5102" w:rsidRDefault="0092759A" w:rsidP="00196BD8">
      <w:pPr>
        <w:spacing w:after="0" w:line="276" w:lineRule="auto"/>
        <w:jc w:val="both"/>
        <w:rPr>
          <w:b/>
          <w:bCs/>
          <w:color w:val="0D0D0D" w:themeColor="text1" w:themeTint="F2"/>
          <w:lang w:val="en-US"/>
        </w:rPr>
      </w:pPr>
      <w:r w:rsidRPr="007A5102">
        <w:rPr>
          <w:b/>
          <w:bCs/>
          <w:color w:val="0D0D0D" w:themeColor="text1" w:themeTint="F2"/>
          <w:lang w:val="en-US"/>
        </w:rPr>
        <w:t xml:space="preserve">Valk &amp; Valk, in: </w:t>
      </w:r>
      <w:r w:rsidRPr="007A5102">
        <w:rPr>
          <w:b/>
          <w:bCs/>
          <w:i/>
          <w:iCs/>
          <w:color w:val="0D0D0D" w:themeColor="text1" w:themeTint="F2"/>
          <w:lang w:val="en-US"/>
        </w:rPr>
        <w:t>T&amp;C BW</w:t>
      </w:r>
      <w:r w:rsidR="009A6D8B" w:rsidRPr="007A5102">
        <w:rPr>
          <w:b/>
          <w:bCs/>
          <w:i/>
          <w:iCs/>
          <w:color w:val="0D0D0D" w:themeColor="text1" w:themeTint="F2"/>
          <w:lang w:val="en-US"/>
        </w:rPr>
        <w:t>,</w:t>
      </w:r>
      <w:r w:rsidRPr="007A5102">
        <w:rPr>
          <w:b/>
          <w:bCs/>
          <w:i/>
          <w:iCs/>
          <w:color w:val="0D0D0D" w:themeColor="text1" w:themeTint="F2"/>
          <w:lang w:val="en-US"/>
        </w:rPr>
        <w:t xml:space="preserve"> </w:t>
      </w:r>
      <w:r w:rsidRPr="007A5102">
        <w:rPr>
          <w:b/>
          <w:bCs/>
          <w:color w:val="0D0D0D" w:themeColor="text1" w:themeTint="F2"/>
          <w:lang w:val="en-US"/>
        </w:rPr>
        <w:t xml:space="preserve">art. 6:234 BW. </w:t>
      </w:r>
    </w:p>
    <w:p w14:paraId="744AD359" w14:textId="292D4D10" w:rsidR="008B3B31" w:rsidRDefault="0092759A" w:rsidP="00196BD8">
      <w:pPr>
        <w:spacing w:line="276" w:lineRule="auto"/>
        <w:jc w:val="both"/>
        <w:rPr>
          <w:iCs/>
          <w:color w:val="0D0D0D" w:themeColor="text1" w:themeTint="F2"/>
        </w:rPr>
      </w:pPr>
      <w:r>
        <w:rPr>
          <w:color w:val="0D0D0D" w:themeColor="text1" w:themeTint="F2"/>
        </w:rPr>
        <w:t xml:space="preserve">W.L. Valk &amp; J.J. Valk, ‘Commentaar op art. 6:234 BW’, in: H.B. Krans, C.J.J.M. Stolker &amp; W.L. Valk (red.), </w:t>
      </w:r>
      <w:r w:rsidRPr="005418B4">
        <w:rPr>
          <w:i/>
          <w:iCs/>
          <w:color w:val="0D0D0D" w:themeColor="text1" w:themeTint="F2"/>
        </w:rPr>
        <w:t>Tekst &amp; Commentaar Burgerlijk wetboek</w:t>
      </w:r>
      <w:r>
        <w:rPr>
          <w:i/>
          <w:iCs/>
          <w:color w:val="0D0D0D" w:themeColor="text1" w:themeTint="F2"/>
        </w:rPr>
        <w:t xml:space="preserve">, </w:t>
      </w:r>
      <w:r>
        <w:rPr>
          <w:iCs/>
          <w:color w:val="0D0D0D" w:themeColor="text1" w:themeTint="F2"/>
        </w:rPr>
        <w:t xml:space="preserve">Deventer: Wolters Kluwer. </w:t>
      </w:r>
    </w:p>
    <w:p w14:paraId="5BABF17E" w14:textId="4D8DB2A4" w:rsidR="002A7F8E" w:rsidRPr="0025497B" w:rsidRDefault="002A7F8E" w:rsidP="00196BD8">
      <w:pPr>
        <w:spacing w:after="0" w:line="276" w:lineRule="auto"/>
        <w:jc w:val="both"/>
        <w:rPr>
          <w:b/>
          <w:bCs/>
          <w:iCs/>
          <w:color w:val="0D0D0D" w:themeColor="text1" w:themeTint="F2"/>
        </w:rPr>
      </w:pPr>
      <w:r w:rsidRPr="0025497B">
        <w:rPr>
          <w:b/>
          <w:bCs/>
          <w:iCs/>
          <w:color w:val="0D0D0D" w:themeColor="text1" w:themeTint="F2"/>
        </w:rPr>
        <w:t>Voulon,</w:t>
      </w:r>
      <w:r w:rsidR="0025497B" w:rsidRPr="0025497B">
        <w:rPr>
          <w:b/>
          <w:bCs/>
          <w:iCs/>
          <w:color w:val="0D0D0D" w:themeColor="text1" w:themeTint="F2"/>
        </w:rPr>
        <w:t xml:space="preserve"> </w:t>
      </w:r>
      <w:r w:rsidR="0025497B" w:rsidRPr="0025497B">
        <w:rPr>
          <w:b/>
          <w:bCs/>
          <w:i/>
          <w:color w:val="0D0D0D" w:themeColor="text1" w:themeTint="F2"/>
        </w:rPr>
        <w:t>MvV</w:t>
      </w:r>
      <w:r w:rsidR="0025497B" w:rsidRPr="0025497B">
        <w:rPr>
          <w:b/>
          <w:bCs/>
          <w:iCs/>
          <w:color w:val="0D0D0D" w:themeColor="text1" w:themeTint="F2"/>
        </w:rPr>
        <w:t xml:space="preserve"> 2011.</w:t>
      </w:r>
    </w:p>
    <w:p w14:paraId="26F09F26" w14:textId="5729178A" w:rsidR="003C1A31" w:rsidRPr="00456E40" w:rsidRDefault="003C1A31" w:rsidP="00196BD8">
      <w:pPr>
        <w:spacing w:line="276" w:lineRule="auto"/>
        <w:jc w:val="both"/>
        <w:rPr>
          <w:iCs/>
          <w:color w:val="0D0D0D" w:themeColor="text1" w:themeTint="F2"/>
        </w:rPr>
      </w:pPr>
      <w:r w:rsidRPr="00456E40">
        <w:rPr>
          <w:iCs/>
          <w:color w:val="0D0D0D" w:themeColor="text1" w:themeTint="F2"/>
        </w:rPr>
        <w:t>M.B. Voulon, ‘</w:t>
      </w:r>
      <w:r w:rsidRPr="002A7F8E">
        <w:rPr>
          <w:i/>
          <w:color w:val="0D0D0D" w:themeColor="text1" w:themeTint="F2"/>
        </w:rPr>
        <w:t>First Data/Attingo</w:t>
      </w:r>
      <w:r w:rsidRPr="00456E40">
        <w:rPr>
          <w:iCs/>
          <w:color w:val="0D0D0D" w:themeColor="text1" w:themeTint="F2"/>
        </w:rPr>
        <w:t xml:space="preserve">: gebruiker </w:t>
      </w:r>
      <w:r w:rsidR="00456E40" w:rsidRPr="00456E40">
        <w:rPr>
          <w:iCs/>
          <w:color w:val="0D0D0D" w:themeColor="text1" w:themeTint="F2"/>
        </w:rPr>
        <w:t xml:space="preserve">algemene voorwaarden </w:t>
      </w:r>
      <w:r w:rsidR="00456E40">
        <w:rPr>
          <w:iCs/>
          <w:color w:val="0D0D0D" w:themeColor="text1" w:themeTint="F2"/>
        </w:rPr>
        <w:t xml:space="preserve">voldoet niet aan informatieplicht indien de wederpartij met een internetzoekopdracht </w:t>
      </w:r>
      <w:r w:rsidR="007412BF">
        <w:rPr>
          <w:iCs/>
          <w:color w:val="0D0D0D" w:themeColor="text1" w:themeTint="F2"/>
        </w:rPr>
        <w:t>kennis kan nemen van de voorwaarden’</w:t>
      </w:r>
      <w:r w:rsidR="002A7F8E">
        <w:rPr>
          <w:iCs/>
          <w:color w:val="0D0D0D" w:themeColor="text1" w:themeTint="F2"/>
        </w:rPr>
        <w:t xml:space="preserve">, </w:t>
      </w:r>
      <w:r w:rsidR="002A7F8E" w:rsidRPr="002A7F8E">
        <w:rPr>
          <w:i/>
          <w:color w:val="0D0D0D" w:themeColor="text1" w:themeTint="F2"/>
        </w:rPr>
        <w:t>MvV</w:t>
      </w:r>
      <w:r w:rsidR="002A7F8E">
        <w:rPr>
          <w:iCs/>
          <w:color w:val="0D0D0D" w:themeColor="text1" w:themeTint="F2"/>
        </w:rPr>
        <w:t xml:space="preserve"> 2011/5</w:t>
      </w:r>
      <w:r w:rsidR="0025497B">
        <w:rPr>
          <w:iCs/>
          <w:color w:val="0D0D0D" w:themeColor="text1" w:themeTint="F2"/>
        </w:rPr>
        <w:t>.</w:t>
      </w:r>
      <w:r w:rsidR="002A7F8E">
        <w:rPr>
          <w:iCs/>
          <w:color w:val="0D0D0D" w:themeColor="text1" w:themeTint="F2"/>
        </w:rPr>
        <w:t xml:space="preserve"> </w:t>
      </w:r>
    </w:p>
    <w:p w14:paraId="1C235FD6" w14:textId="18DF30D5" w:rsidR="00C90F11" w:rsidRPr="00C90F11" w:rsidRDefault="00C90F11" w:rsidP="00196BD8">
      <w:pPr>
        <w:spacing w:after="0" w:line="276" w:lineRule="auto"/>
        <w:jc w:val="both"/>
        <w:rPr>
          <w:b/>
          <w:bCs/>
          <w:iCs/>
          <w:color w:val="0D0D0D" w:themeColor="text1" w:themeTint="F2"/>
        </w:rPr>
      </w:pPr>
      <w:r w:rsidRPr="00C90F11">
        <w:rPr>
          <w:b/>
          <w:bCs/>
          <w:iCs/>
          <w:color w:val="0D0D0D" w:themeColor="text1" w:themeTint="F2"/>
        </w:rPr>
        <w:t>De Vries 2016.</w:t>
      </w:r>
    </w:p>
    <w:p w14:paraId="7797DD54" w14:textId="050B4359" w:rsidR="00E702ED" w:rsidRPr="00C90F11" w:rsidRDefault="00E702ED" w:rsidP="00196BD8">
      <w:pPr>
        <w:spacing w:line="276" w:lineRule="auto"/>
        <w:jc w:val="both"/>
        <w:rPr>
          <w:iCs/>
          <w:color w:val="0D0D0D" w:themeColor="text1" w:themeTint="F2"/>
        </w:rPr>
      </w:pPr>
      <w:r>
        <w:rPr>
          <w:iCs/>
          <w:color w:val="0D0D0D" w:themeColor="text1" w:themeTint="F2"/>
        </w:rPr>
        <w:t xml:space="preserve">F.J. </w:t>
      </w:r>
      <w:r w:rsidR="001D5D79">
        <w:rPr>
          <w:iCs/>
          <w:color w:val="0D0D0D" w:themeColor="text1" w:themeTint="F2"/>
        </w:rPr>
        <w:t xml:space="preserve">de Vries, </w:t>
      </w:r>
      <w:r w:rsidR="001D5D79" w:rsidRPr="00C90F11">
        <w:rPr>
          <w:i/>
          <w:color w:val="0D0D0D" w:themeColor="text1" w:themeTint="F2"/>
        </w:rPr>
        <w:t>De overeenkomst in het algemeen (Mon. BW nr. B54</w:t>
      </w:r>
      <w:r w:rsidR="001D5D79" w:rsidRPr="00C90F11">
        <w:rPr>
          <w:iCs/>
          <w:color w:val="0D0D0D" w:themeColor="text1" w:themeTint="F2"/>
        </w:rPr>
        <w:t>), Deventer: Wolters Kluwer</w:t>
      </w:r>
      <w:r w:rsidR="000A34C7" w:rsidRPr="00C90F11">
        <w:rPr>
          <w:iCs/>
          <w:color w:val="0D0D0D" w:themeColor="text1" w:themeTint="F2"/>
        </w:rPr>
        <w:t xml:space="preserve"> 2016</w:t>
      </w:r>
      <w:r w:rsidR="00C90F11" w:rsidRPr="00C90F11">
        <w:rPr>
          <w:iCs/>
          <w:color w:val="0D0D0D" w:themeColor="text1" w:themeTint="F2"/>
        </w:rPr>
        <w:t>.</w:t>
      </w:r>
    </w:p>
    <w:p w14:paraId="146C0B54" w14:textId="77777777" w:rsidR="0092759A" w:rsidRPr="007C2EBA" w:rsidRDefault="0092759A" w:rsidP="00196BD8">
      <w:pPr>
        <w:spacing w:after="0" w:line="276" w:lineRule="auto"/>
        <w:jc w:val="both"/>
        <w:rPr>
          <w:b/>
          <w:bCs/>
        </w:rPr>
      </w:pPr>
      <w:r w:rsidRPr="007C2EBA">
        <w:rPr>
          <w:b/>
          <w:bCs/>
        </w:rPr>
        <w:t xml:space="preserve">Van Wechem &amp; Spanjaard, </w:t>
      </w:r>
      <w:r w:rsidRPr="007C2EBA">
        <w:rPr>
          <w:b/>
          <w:bCs/>
          <w:i/>
          <w:iCs/>
        </w:rPr>
        <w:t>TBR</w:t>
      </w:r>
      <w:r w:rsidRPr="007C2EBA">
        <w:rPr>
          <w:b/>
          <w:bCs/>
        </w:rPr>
        <w:t xml:space="preserve"> 2012.</w:t>
      </w:r>
    </w:p>
    <w:p w14:paraId="0FFB6338" w14:textId="77777777" w:rsidR="0092759A" w:rsidRPr="00CA6D13" w:rsidRDefault="0092759A" w:rsidP="00196BD8">
      <w:pPr>
        <w:spacing w:line="276" w:lineRule="auto"/>
        <w:jc w:val="both"/>
        <w:rPr>
          <w:sz w:val="44"/>
          <w:szCs w:val="44"/>
        </w:rPr>
      </w:pPr>
      <w:r w:rsidRPr="00CA6D13">
        <w:rPr>
          <w:rFonts w:cs="Arial"/>
          <w:color w:val="333333"/>
          <w:shd w:val="clear" w:color="auto" w:fill="FFFFFF"/>
        </w:rPr>
        <w:t xml:space="preserve">T.H.M. van Wechem &amp; J.H.M. Spanjaard, </w:t>
      </w:r>
      <w:r>
        <w:rPr>
          <w:rFonts w:cs="Arial"/>
          <w:color w:val="333333"/>
          <w:shd w:val="clear" w:color="auto" w:fill="FFFFFF"/>
        </w:rPr>
        <w:t>‘</w:t>
      </w:r>
      <w:r w:rsidRPr="00CA6D13">
        <w:rPr>
          <w:rFonts w:cs="Arial"/>
          <w:color w:val="333333"/>
          <w:shd w:val="clear" w:color="auto" w:fill="FFFFFF"/>
        </w:rPr>
        <w:t>Gelding van algemene voorwaarden – HR 2 december 2011, LJN: BT6684, NJ 2011/574 (Linthorst/Echoput)</w:t>
      </w:r>
      <w:r>
        <w:rPr>
          <w:rFonts w:cs="Arial"/>
          <w:color w:val="333333"/>
          <w:shd w:val="clear" w:color="auto" w:fill="FFFFFF"/>
        </w:rPr>
        <w:t>’</w:t>
      </w:r>
      <w:r w:rsidRPr="00CA6D13">
        <w:rPr>
          <w:rFonts w:cs="Arial"/>
          <w:color w:val="333333"/>
          <w:shd w:val="clear" w:color="auto" w:fill="FFFFFF"/>
        </w:rPr>
        <w:t xml:space="preserve">, </w:t>
      </w:r>
      <w:r w:rsidRPr="00CA6D13">
        <w:rPr>
          <w:rFonts w:cs="Arial"/>
          <w:i/>
          <w:iCs/>
          <w:color w:val="333333"/>
          <w:shd w:val="clear" w:color="auto" w:fill="FFFFFF"/>
        </w:rPr>
        <w:t>TBR</w:t>
      </w:r>
      <w:r w:rsidRPr="00CA6D13">
        <w:rPr>
          <w:rFonts w:cs="Arial"/>
          <w:color w:val="333333"/>
          <w:shd w:val="clear" w:color="auto" w:fill="FFFFFF"/>
        </w:rPr>
        <w:t xml:space="preserve"> 2012/86.</w:t>
      </w:r>
    </w:p>
    <w:p w14:paraId="3A1A1CAF" w14:textId="204E8922" w:rsidR="0092759A" w:rsidRPr="00E4229C" w:rsidRDefault="0092759A" w:rsidP="00196BD8">
      <w:pPr>
        <w:spacing w:after="0" w:line="276" w:lineRule="auto"/>
        <w:jc w:val="both"/>
        <w:rPr>
          <w:b/>
          <w:bCs/>
          <w:color w:val="0D0D0D" w:themeColor="text1" w:themeTint="F2"/>
        </w:rPr>
      </w:pPr>
      <w:r w:rsidRPr="00E4229C">
        <w:rPr>
          <w:b/>
          <w:bCs/>
          <w:color w:val="0D0D0D" w:themeColor="text1" w:themeTint="F2"/>
        </w:rPr>
        <w:t>Van Wechem</w:t>
      </w:r>
      <w:r w:rsidR="000A03F7">
        <w:rPr>
          <w:b/>
          <w:bCs/>
          <w:color w:val="0D0D0D" w:themeColor="text1" w:themeTint="F2"/>
        </w:rPr>
        <w:t xml:space="preserve"> </w:t>
      </w:r>
      <w:r w:rsidRPr="00E4229C">
        <w:rPr>
          <w:b/>
          <w:bCs/>
          <w:color w:val="0D0D0D" w:themeColor="text1" w:themeTint="F2"/>
        </w:rPr>
        <w:t>2007.</w:t>
      </w:r>
    </w:p>
    <w:p w14:paraId="616683F0" w14:textId="3EE0E7E4" w:rsidR="002A3475" w:rsidRDefault="0092759A" w:rsidP="00196BD8">
      <w:pPr>
        <w:pStyle w:val="Voetnoottekst"/>
        <w:spacing w:line="276" w:lineRule="auto"/>
        <w:jc w:val="both"/>
        <w:rPr>
          <w:rFonts w:cs="Calibri"/>
          <w:color w:val="0D0D0D" w:themeColor="text1" w:themeTint="F2"/>
          <w:sz w:val="24"/>
          <w:szCs w:val="24"/>
        </w:rPr>
      </w:pPr>
      <w:r w:rsidRPr="00280CB6">
        <w:rPr>
          <w:rFonts w:cs="Calibri"/>
          <w:color w:val="0D0D0D" w:themeColor="text1" w:themeTint="F2"/>
          <w:sz w:val="24"/>
          <w:szCs w:val="24"/>
        </w:rPr>
        <w:t xml:space="preserve">T.H.M. </w:t>
      </w:r>
      <w:r w:rsidR="00D815F7">
        <w:rPr>
          <w:rFonts w:cs="Calibri"/>
          <w:color w:val="0D0D0D" w:themeColor="text1" w:themeTint="F2"/>
          <w:sz w:val="24"/>
          <w:szCs w:val="24"/>
        </w:rPr>
        <w:t>v</w:t>
      </w:r>
      <w:r w:rsidRPr="00280CB6">
        <w:rPr>
          <w:rFonts w:cs="Calibri"/>
          <w:color w:val="0D0D0D" w:themeColor="text1" w:themeTint="F2"/>
          <w:sz w:val="24"/>
          <w:szCs w:val="24"/>
        </w:rPr>
        <w:t xml:space="preserve">an Wechem, </w:t>
      </w:r>
      <w:r w:rsidRPr="00CA6D13">
        <w:rPr>
          <w:rFonts w:cs="Calibri"/>
          <w:i/>
          <w:iCs/>
          <w:color w:val="0D0D0D" w:themeColor="text1" w:themeTint="F2"/>
          <w:sz w:val="24"/>
          <w:szCs w:val="24"/>
        </w:rPr>
        <w:t>Toepasselijkheid van algemene voorwaarden</w:t>
      </w:r>
      <w:r w:rsidRPr="00280CB6">
        <w:rPr>
          <w:rFonts w:cs="Calibri"/>
          <w:color w:val="0D0D0D" w:themeColor="text1" w:themeTint="F2"/>
          <w:sz w:val="24"/>
          <w:szCs w:val="24"/>
        </w:rPr>
        <w:t>, Deventer</w:t>
      </w:r>
      <w:r w:rsidR="008D1A1B">
        <w:rPr>
          <w:rFonts w:cs="Calibri"/>
          <w:color w:val="0D0D0D" w:themeColor="text1" w:themeTint="F2"/>
          <w:sz w:val="24"/>
          <w:szCs w:val="24"/>
        </w:rPr>
        <w:t>: Wolters</w:t>
      </w:r>
      <w:r w:rsidRPr="00280CB6">
        <w:rPr>
          <w:rFonts w:cs="Calibri"/>
          <w:color w:val="0D0D0D" w:themeColor="text1" w:themeTint="F2"/>
          <w:sz w:val="24"/>
          <w:szCs w:val="24"/>
        </w:rPr>
        <w:t xml:space="preserve"> Kluwer 2007</w:t>
      </w:r>
      <w:r>
        <w:rPr>
          <w:rFonts w:cs="Calibri"/>
          <w:color w:val="0D0D0D" w:themeColor="text1" w:themeTint="F2"/>
          <w:sz w:val="24"/>
          <w:szCs w:val="24"/>
        </w:rPr>
        <w:t>.</w:t>
      </w:r>
      <w:r w:rsidRPr="00280CB6">
        <w:rPr>
          <w:rFonts w:cs="Calibri"/>
          <w:color w:val="0D0D0D" w:themeColor="text1" w:themeTint="F2"/>
          <w:sz w:val="24"/>
          <w:szCs w:val="24"/>
        </w:rPr>
        <w:t xml:space="preserve"> </w:t>
      </w:r>
    </w:p>
    <w:p w14:paraId="57FAEE1B" w14:textId="77777777" w:rsidR="000A03F7" w:rsidRDefault="000A03F7" w:rsidP="00196BD8">
      <w:pPr>
        <w:pStyle w:val="Voetnoottekst"/>
        <w:spacing w:line="276" w:lineRule="auto"/>
        <w:jc w:val="both"/>
        <w:rPr>
          <w:rFonts w:cs="Calibri"/>
          <w:color w:val="0D0D0D" w:themeColor="text1" w:themeTint="F2"/>
          <w:sz w:val="24"/>
          <w:szCs w:val="24"/>
        </w:rPr>
      </w:pPr>
    </w:p>
    <w:p w14:paraId="0FF56E0A" w14:textId="4CF5EDEF" w:rsidR="00A72B35" w:rsidRPr="00D425AA" w:rsidRDefault="00A72B35" w:rsidP="00196BD8">
      <w:pPr>
        <w:pStyle w:val="Voetnoottekst"/>
        <w:spacing w:line="276" w:lineRule="auto"/>
        <w:jc w:val="both"/>
        <w:rPr>
          <w:rFonts w:cs="Calibri"/>
          <w:b/>
          <w:bCs/>
          <w:color w:val="0D0D0D" w:themeColor="text1" w:themeTint="F2"/>
          <w:sz w:val="24"/>
          <w:szCs w:val="24"/>
        </w:rPr>
      </w:pPr>
      <w:r w:rsidRPr="00D425AA">
        <w:rPr>
          <w:rFonts w:cs="Calibri"/>
          <w:b/>
          <w:bCs/>
          <w:color w:val="0D0D0D" w:themeColor="text1" w:themeTint="F2"/>
          <w:sz w:val="24"/>
          <w:szCs w:val="24"/>
        </w:rPr>
        <w:t xml:space="preserve">Van Wechem, </w:t>
      </w:r>
      <w:r w:rsidR="00B90245" w:rsidRPr="00D425AA">
        <w:rPr>
          <w:rFonts w:cs="Calibri"/>
          <w:b/>
          <w:bCs/>
          <w:i/>
          <w:iCs/>
          <w:color w:val="0D0D0D" w:themeColor="text1" w:themeTint="F2"/>
          <w:sz w:val="24"/>
          <w:szCs w:val="24"/>
        </w:rPr>
        <w:t>contracteren</w:t>
      </w:r>
      <w:r w:rsidR="00B90245" w:rsidRPr="00D425AA">
        <w:rPr>
          <w:rFonts w:cs="Calibri"/>
          <w:b/>
          <w:bCs/>
          <w:color w:val="0D0D0D" w:themeColor="text1" w:themeTint="F2"/>
          <w:sz w:val="24"/>
          <w:szCs w:val="24"/>
        </w:rPr>
        <w:t xml:space="preserve"> </w:t>
      </w:r>
      <w:r w:rsidRPr="00D425AA">
        <w:rPr>
          <w:rFonts w:cs="Calibri"/>
          <w:b/>
          <w:bCs/>
          <w:color w:val="0D0D0D" w:themeColor="text1" w:themeTint="F2"/>
          <w:sz w:val="24"/>
          <w:szCs w:val="24"/>
        </w:rPr>
        <w:t>2010.</w:t>
      </w:r>
    </w:p>
    <w:p w14:paraId="4D27E349" w14:textId="07EBB819" w:rsidR="00D425AA" w:rsidRDefault="00B90245" w:rsidP="00196BD8">
      <w:pPr>
        <w:pStyle w:val="Voetnoottekst"/>
        <w:spacing w:line="276" w:lineRule="auto"/>
        <w:jc w:val="both"/>
        <w:rPr>
          <w:rFonts w:cs="Calibri"/>
          <w:color w:val="0D0D0D" w:themeColor="text1" w:themeTint="F2"/>
          <w:sz w:val="24"/>
          <w:szCs w:val="24"/>
        </w:rPr>
      </w:pPr>
      <w:r>
        <w:rPr>
          <w:rFonts w:cs="Calibri"/>
          <w:color w:val="0D0D0D" w:themeColor="text1" w:themeTint="F2"/>
          <w:sz w:val="24"/>
          <w:szCs w:val="24"/>
        </w:rPr>
        <w:t>T.H.M. van Wechem</w:t>
      </w:r>
      <w:r w:rsidR="00D815F7">
        <w:rPr>
          <w:rFonts w:cs="Calibri"/>
          <w:color w:val="0D0D0D" w:themeColor="text1" w:themeTint="F2"/>
          <w:sz w:val="24"/>
          <w:szCs w:val="24"/>
        </w:rPr>
        <w:t xml:space="preserve">, ‘Wetsvoorstel 31 358: een hamerstuk met losse eindjes’, </w:t>
      </w:r>
      <w:r w:rsidR="00D815F7" w:rsidRPr="00D425AA">
        <w:rPr>
          <w:rFonts w:cs="Calibri"/>
          <w:i/>
          <w:iCs/>
          <w:color w:val="0D0D0D" w:themeColor="text1" w:themeTint="F2"/>
          <w:sz w:val="24"/>
          <w:szCs w:val="24"/>
        </w:rPr>
        <w:t>Contracteren</w:t>
      </w:r>
      <w:r w:rsidR="00D815F7">
        <w:rPr>
          <w:rFonts w:cs="Calibri"/>
          <w:color w:val="0D0D0D" w:themeColor="text1" w:themeTint="F2"/>
          <w:sz w:val="24"/>
          <w:szCs w:val="24"/>
        </w:rPr>
        <w:t xml:space="preserve"> 2010</w:t>
      </w:r>
      <w:r w:rsidR="00D425AA">
        <w:rPr>
          <w:rFonts w:cs="Calibri"/>
          <w:color w:val="0D0D0D" w:themeColor="text1" w:themeTint="F2"/>
          <w:sz w:val="24"/>
          <w:szCs w:val="24"/>
        </w:rPr>
        <w:t xml:space="preserve">/3. </w:t>
      </w:r>
    </w:p>
    <w:p w14:paraId="5F1F7E90" w14:textId="77777777" w:rsidR="00A72B35" w:rsidRDefault="00A72B35" w:rsidP="00196BD8">
      <w:pPr>
        <w:pStyle w:val="Voetnoottekst"/>
        <w:spacing w:line="276" w:lineRule="auto"/>
        <w:jc w:val="both"/>
        <w:rPr>
          <w:rFonts w:cs="Calibri"/>
          <w:color w:val="0D0D0D" w:themeColor="text1" w:themeTint="F2"/>
          <w:sz w:val="24"/>
          <w:szCs w:val="24"/>
        </w:rPr>
      </w:pPr>
    </w:p>
    <w:p w14:paraId="457F8B37" w14:textId="77777777" w:rsidR="0092759A" w:rsidRPr="008E662D" w:rsidRDefault="0092759A" w:rsidP="00196BD8">
      <w:pPr>
        <w:pStyle w:val="Voetnoottekst"/>
        <w:spacing w:line="276" w:lineRule="auto"/>
        <w:jc w:val="both"/>
        <w:rPr>
          <w:rFonts w:cs="Calibri"/>
          <w:b/>
          <w:bCs/>
          <w:color w:val="0D0D0D" w:themeColor="text1" w:themeTint="F2"/>
          <w:sz w:val="24"/>
          <w:szCs w:val="24"/>
        </w:rPr>
      </w:pPr>
      <w:r w:rsidRPr="008E662D">
        <w:rPr>
          <w:rFonts w:cs="Calibri"/>
          <w:b/>
          <w:bCs/>
          <w:color w:val="0D0D0D" w:themeColor="text1" w:themeTint="F2"/>
          <w:sz w:val="24"/>
          <w:szCs w:val="24"/>
        </w:rPr>
        <w:t xml:space="preserve">Van Wechem, </w:t>
      </w:r>
      <w:r w:rsidRPr="008E662D">
        <w:rPr>
          <w:rFonts w:cs="Calibri"/>
          <w:b/>
          <w:bCs/>
          <w:i/>
          <w:iCs/>
          <w:color w:val="0D0D0D" w:themeColor="text1" w:themeTint="F2"/>
          <w:sz w:val="24"/>
          <w:szCs w:val="24"/>
        </w:rPr>
        <w:t>NJB</w:t>
      </w:r>
      <w:r w:rsidRPr="008E662D">
        <w:rPr>
          <w:rFonts w:cs="Calibri"/>
          <w:b/>
          <w:bCs/>
          <w:color w:val="0D0D0D" w:themeColor="text1" w:themeTint="F2"/>
          <w:sz w:val="24"/>
          <w:szCs w:val="24"/>
        </w:rPr>
        <w:t xml:space="preserve"> 2012.</w:t>
      </w:r>
    </w:p>
    <w:p w14:paraId="0181F755" w14:textId="048B85C1" w:rsidR="0092759A" w:rsidRPr="00F862A8" w:rsidRDefault="0092759A" w:rsidP="00F862A8">
      <w:pPr>
        <w:spacing w:after="0" w:line="276" w:lineRule="auto"/>
        <w:jc w:val="both"/>
        <w:rPr>
          <w:rFonts w:eastAsia="Times New Roman" w:cs="Times New Roman"/>
          <w:color w:val="231F20"/>
          <w:kern w:val="0"/>
          <w:lang w:eastAsia="nl-NL"/>
          <w14:ligatures w14:val="none"/>
        </w:rPr>
      </w:pPr>
      <w:r w:rsidRPr="008E662D">
        <w:rPr>
          <w:rFonts w:eastAsia="Times New Roman" w:cs="Times New Roman"/>
          <w:color w:val="231F20"/>
          <w:kern w:val="0"/>
          <w:lang w:eastAsia="nl-NL"/>
          <w14:ligatures w14:val="none"/>
        </w:rPr>
        <w:t>T.H.M. van Wechem, ‘Kroniek vermogens</w:t>
      </w:r>
      <w:r>
        <w:rPr>
          <w:rFonts w:eastAsia="Times New Roman" w:cs="Times New Roman"/>
          <w:color w:val="231F20"/>
          <w:kern w:val="0"/>
          <w:lang w:eastAsia="nl-NL"/>
          <w14:ligatures w14:val="none"/>
        </w:rPr>
        <w:t xml:space="preserve"> </w:t>
      </w:r>
      <w:r w:rsidRPr="008E662D">
        <w:rPr>
          <w:rFonts w:eastAsia="Times New Roman" w:cs="Times New Roman"/>
          <w:color w:val="231F20"/>
          <w:kern w:val="0"/>
          <w:lang w:eastAsia="nl-NL"/>
          <w14:ligatures w14:val="none"/>
        </w:rPr>
        <w:t xml:space="preserve">recht’, </w:t>
      </w:r>
      <w:r w:rsidRPr="008E662D">
        <w:rPr>
          <w:rFonts w:eastAsia="Times New Roman" w:cs="Times New Roman"/>
          <w:i/>
          <w:iCs/>
          <w:color w:val="231F20"/>
          <w:spacing w:val="8"/>
          <w:kern w:val="0"/>
          <w:lang w:eastAsia="nl-NL"/>
          <w14:ligatures w14:val="none"/>
        </w:rPr>
        <w:t>NJB</w:t>
      </w:r>
      <w:r w:rsidRPr="008E662D">
        <w:rPr>
          <w:rFonts w:eastAsia="Times New Roman" w:cs="Times New Roman"/>
          <w:color w:val="231F20"/>
          <w:spacing w:val="8"/>
          <w:kern w:val="0"/>
          <w:lang w:eastAsia="nl-NL"/>
          <w14:ligatures w14:val="none"/>
        </w:rPr>
        <w:t xml:space="preserve"> </w:t>
      </w:r>
      <w:r w:rsidRPr="008E662D">
        <w:rPr>
          <w:rFonts w:eastAsia="Times New Roman" w:cs="Times New Roman"/>
          <w:color w:val="231F20"/>
          <w:spacing w:val="5"/>
          <w:kern w:val="0"/>
          <w:lang w:eastAsia="nl-NL"/>
          <w14:ligatures w14:val="none"/>
        </w:rPr>
        <w:t>2012/15</w:t>
      </w:r>
      <w:r>
        <w:rPr>
          <w:rFonts w:eastAsia="Times New Roman" w:cs="Times New Roman"/>
          <w:color w:val="231F20"/>
          <w:spacing w:val="10"/>
          <w:kern w:val="0"/>
          <w:lang w:eastAsia="nl-NL"/>
          <w14:ligatures w14:val="none"/>
        </w:rPr>
        <w:t>.</w:t>
      </w:r>
    </w:p>
    <w:p w14:paraId="71FA2968" w14:textId="77777777" w:rsidR="0092759A" w:rsidRPr="00C4067D" w:rsidRDefault="0092759A" w:rsidP="00196BD8">
      <w:pPr>
        <w:pStyle w:val="Voetnoottekst"/>
        <w:spacing w:line="276" w:lineRule="auto"/>
        <w:jc w:val="both"/>
        <w:rPr>
          <w:rFonts w:cs="Calibri"/>
          <w:b/>
          <w:bCs/>
          <w:color w:val="0D0D0D" w:themeColor="text1" w:themeTint="F2"/>
          <w:sz w:val="24"/>
          <w:szCs w:val="24"/>
          <w:shd w:val="clear" w:color="auto" w:fill="FFFFFF"/>
        </w:rPr>
      </w:pPr>
      <w:r w:rsidRPr="00C4067D">
        <w:rPr>
          <w:rFonts w:cs="Calibri"/>
          <w:b/>
          <w:bCs/>
          <w:color w:val="0D0D0D" w:themeColor="text1" w:themeTint="F2"/>
          <w:sz w:val="24"/>
          <w:szCs w:val="24"/>
          <w:shd w:val="clear" w:color="auto" w:fill="FFFFFF"/>
        </w:rPr>
        <w:lastRenderedPageBreak/>
        <w:t xml:space="preserve">Van Wechem &amp; Spanjaard, </w:t>
      </w:r>
      <w:r w:rsidRPr="00C4067D">
        <w:rPr>
          <w:rFonts w:cs="Calibri"/>
          <w:b/>
          <w:bCs/>
          <w:i/>
          <w:iCs/>
          <w:color w:val="0D0D0D" w:themeColor="text1" w:themeTint="F2"/>
          <w:sz w:val="24"/>
          <w:szCs w:val="24"/>
          <w:shd w:val="clear" w:color="auto" w:fill="FFFFFF"/>
        </w:rPr>
        <w:t>Contracteren</w:t>
      </w:r>
      <w:r w:rsidRPr="00C4067D">
        <w:rPr>
          <w:rFonts w:cs="Calibri"/>
          <w:b/>
          <w:bCs/>
          <w:color w:val="0D0D0D" w:themeColor="text1" w:themeTint="F2"/>
          <w:sz w:val="24"/>
          <w:szCs w:val="24"/>
          <w:shd w:val="clear" w:color="auto" w:fill="FFFFFF"/>
        </w:rPr>
        <w:t xml:space="preserve"> 2021.</w:t>
      </w:r>
    </w:p>
    <w:p w14:paraId="0D82E5FA" w14:textId="22F220ED" w:rsidR="00A6089D" w:rsidRDefault="0092759A" w:rsidP="00196BD8">
      <w:pPr>
        <w:spacing w:line="276" w:lineRule="auto"/>
        <w:jc w:val="both"/>
        <w:rPr>
          <w:color w:val="0D0D0D" w:themeColor="text1" w:themeTint="F2"/>
          <w:shd w:val="clear" w:color="auto" w:fill="FFFFFF"/>
        </w:rPr>
      </w:pPr>
      <w:r w:rsidRPr="00280CB6">
        <w:rPr>
          <w:color w:val="0D0D0D" w:themeColor="text1" w:themeTint="F2"/>
          <w:shd w:val="clear" w:color="auto" w:fill="FFFFFF"/>
        </w:rPr>
        <w:t xml:space="preserve">T.H.M. </w:t>
      </w:r>
      <w:r w:rsidR="00D815F7">
        <w:rPr>
          <w:color w:val="0D0D0D" w:themeColor="text1" w:themeTint="F2"/>
          <w:shd w:val="clear" w:color="auto" w:fill="FFFFFF"/>
        </w:rPr>
        <w:t>v</w:t>
      </w:r>
      <w:r w:rsidRPr="00280CB6">
        <w:rPr>
          <w:color w:val="0D0D0D" w:themeColor="text1" w:themeTint="F2"/>
          <w:shd w:val="clear" w:color="auto" w:fill="FFFFFF"/>
        </w:rPr>
        <w:t>an Wechem &amp; J.H.M. Spanjaard, ‘Algemene voorwaarden en dienstverrichters, onduidelijk gepuzzel: wie het weet mag het zeggen’,</w:t>
      </w:r>
      <w:r w:rsidRPr="00280CB6">
        <w:rPr>
          <w:rStyle w:val="apple-converted-space"/>
          <w:color w:val="0D0D0D" w:themeColor="text1" w:themeTint="F2"/>
          <w:shd w:val="clear" w:color="auto" w:fill="FFFFFF"/>
        </w:rPr>
        <w:t> </w:t>
      </w:r>
      <w:r w:rsidRPr="00280CB6">
        <w:rPr>
          <w:rStyle w:val="Nadruk"/>
          <w:color w:val="0D0D0D" w:themeColor="text1" w:themeTint="F2"/>
        </w:rPr>
        <w:t>Contracteren</w:t>
      </w:r>
      <w:r w:rsidRPr="00280CB6">
        <w:rPr>
          <w:rStyle w:val="apple-converted-space"/>
          <w:color w:val="0D0D0D" w:themeColor="text1" w:themeTint="F2"/>
          <w:shd w:val="clear" w:color="auto" w:fill="FFFFFF"/>
        </w:rPr>
        <w:t> </w:t>
      </w:r>
      <w:r w:rsidRPr="00280CB6">
        <w:rPr>
          <w:color w:val="0D0D0D" w:themeColor="text1" w:themeTint="F2"/>
          <w:shd w:val="clear" w:color="auto" w:fill="FFFFFF"/>
        </w:rPr>
        <w:t>2021/2</w:t>
      </w:r>
      <w:r>
        <w:rPr>
          <w:color w:val="0D0D0D" w:themeColor="text1" w:themeTint="F2"/>
          <w:shd w:val="clear" w:color="auto" w:fill="FFFFFF"/>
        </w:rPr>
        <w:t>.</w:t>
      </w:r>
    </w:p>
    <w:p w14:paraId="32653956" w14:textId="3AE15E43" w:rsidR="00F965BE" w:rsidRPr="00784AD5" w:rsidRDefault="00F965BE" w:rsidP="00196BD8">
      <w:pPr>
        <w:spacing w:after="0" w:line="276" w:lineRule="auto"/>
        <w:jc w:val="both"/>
        <w:rPr>
          <w:b/>
          <w:bCs/>
          <w:color w:val="0D0D0D" w:themeColor="text1" w:themeTint="F2"/>
          <w:shd w:val="clear" w:color="auto" w:fill="FFFFFF"/>
        </w:rPr>
      </w:pPr>
      <w:r w:rsidRPr="00784AD5">
        <w:rPr>
          <w:b/>
          <w:bCs/>
          <w:color w:val="0D0D0D" w:themeColor="text1" w:themeTint="F2"/>
          <w:shd w:val="clear" w:color="auto" w:fill="FFFFFF"/>
        </w:rPr>
        <w:t>W</w:t>
      </w:r>
      <w:r w:rsidR="00AF5C87" w:rsidRPr="00784AD5">
        <w:rPr>
          <w:b/>
          <w:bCs/>
          <w:color w:val="0D0D0D" w:themeColor="text1" w:themeTint="F2"/>
          <w:shd w:val="clear" w:color="auto" w:fill="FFFFFF"/>
        </w:rPr>
        <w:t>essels &amp; Jongeleer (red.)</w:t>
      </w:r>
      <w:r w:rsidR="00B06A5F">
        <w:rPr>
          <w:b/>
          <w:bCs/>
          <w:color w:val="0D0D0D" w:themeColor="text1" w:themeTint="F2"/>
          <w:shd w:val="clear" w:color="auto" w:fill="FFFFFF"/>
        </w:rPr>
        <w:t xml:space="preserve"> </w:t>
      </w:r>
      <w:r w:rsidR="00784AD5" w:rsidRPr="00784AD5">
        <w:rPr>
          <w:b/>
          <w:bCs/>
          <w:color w:val="0D0D0D" w:themeColor="text1" w:themeTint="F2"/>
          <w:shd w:val="clear" w:color="auto" w:fill="FFFFFF"/>
        </w:rPr>
        <w:t>2017.</w:t>
      </w:r>
    </w:p>
    <w:p w14:paraId="586FA620" w14:textId="4794CC0F" w:rsidR="00F965BE" w:rsidRDefault="00F965BE" w:rsidP="00196BD8">
      <w:pPr>
        <w:spacing w:line="276" w:lineRule="auto"/>
        <w:jc w:val="both"/>
        <w:rPr>
          <w:color w:val="0D0D0D" w:themeColor="text1" w:themeTint="F2"/>
          <w:shd w:val="clear" w:color="auto" w:fill="FFFFFF"/>
        </w:rPr>
      </w:pPr>
      <w:r w:rsidRPr="00F965BE">
        <w:rPr>
          <w:color w:val="0D0D0D" w:themeColor="text1" w:themeTint="F2"/>
          <w:shd w:val="clear" w:color="auto" w:fill="FFFFFF"/>
        </w:rPr>
        <w:t>B. Wessels &amp; R.H.C. Jongeneel (red.), </w:t>
      </w:r>
      <w:r w:rsidRPr="00F965BE">
        <w:rPr>
          <w:i/>
          <w:iCs/>
          <w:color w:val="0D0D0D" w:themeColor="text1" w:themeTint="F2"/>
          <w:shd w:val="clear" w:color="auto" w:fill="FFFFFF"/>
        </w:rPr>
        <w:t>Algemene voorwaarden</w:t>
      </w:r>
      <w:r w:rsidRPr="00F965BE">
        <w:rPr>
          <w:color w:val="0D0D0D" w:themeColor="text1" w:themeTint="F2"/>
          <w:shd w:val="clear" w:color="auto" w:fill="FFFFFF"/>
        </w:rPr>
        <w:t> (Recht en Praktijk nr. CA1), Deventer: Wolters Kluwer 2017.</w:t>
      </w:r>
    </w:p>
    <w:p w14:paraId="05D69B9F" w14:textId="564DA96F" w:rsidR="005F288F" w:rsidRPr="005F288F" w:rsidRDefault="005F288F" w:rsidP="00196BD8">
      <w:pPr>
        <w:spacing w:after="0" w:line="276" w:lineRule="auto"/>
        <w:jc w:val="both"/>
        <w:rPr>
          <w:b/>
          <w:bCs/>
          <w:color w:val="0D0D0D" w:themeColor="text1" w:themeTint="F2"/>
          <w:shd w:val="clear" w:color="auto" w:fill="FFFFFF"/>
        </w:rPr>
      </w:pPr>
      <w:r w:rsidRPr="005F288F">
        <w:rPr>
          <w:b/>
          <w:bCs/>
          <w:color w:val="0D0D0D" w:themeColor="text1" w:themeTint="F2"/>
          <w:shd w:val="clear" w:color="auto" w:fill="FFFFFF"/>
        </w:rPr>
        <w:t xml:space="preserve">Wissink, </w:t>
      </w:r>
      <w:r w:rsidRPr="005F288F">
        <w:rPr>
          <w:b/>
          <w:bCs/>
          <w:i/>
          <w:iCs/>
          <w:color w:val="0D0D0D" w:themeColor="text1" w:themeTint="F2"/>
          <w:shd w:val="clear" w:color="auto" w:fill="FFFFFF"/>
        </w:rPr>
        <w:t>NTBR</w:t>
      </w:r>
      <w:r w:rsidRPr="005F288F">
        <w:rPr>
          <w:b/>
          <w:bCs/>
          <w:color w:val="0D0D0D" w:themeColor="text1" w:themeTint="F2"/>
          <w:shd w:val="clear" w:color="auto" w:fill="FFFFFF"/>
        </w:rPr>
        <w:t xml:space="preserve"> 2005.</w:t>
      </w:r>
    </w:p>
    <w:p w14:paraId="393509EA" w14:textId="1D7876F9" w:rsidR="00432917" w:rsidRPr="005F288F" w:rsidRDefault="00432917" w:rsidP="00196BD8">
      <w:pPr>
        <w:spacing w:line="276" w:lineRule="auto"/>
        <w:jc w:val="both"/>
        <w:rPr>
          <w:color w:val="0D0D0D" w:themeColor="text1" w:themeTint="F2"/>
          <w:shd w:val="clear" w:color="auto" w:fill="FFFFFF"/>
        </w:rPr>
      </w:pPr>
      <w:r w:rsidRPr="005F288F">
        <w:rPr>
          <w:color w:val="0D0D0D" w:themeColor="text1" w:themeTint="F2"/>
          <w:shd w:val="clear" w:color="auto" w:fill="FFFFFF"/>
        </w:rPr>
        <w:t>M.H. Wissink, ‘E-commerce</w:t>
      </w:r>
      <w:r w:rsidR="005F288F" w:rsidRPr="005F288F">
        <w:rPr>
          <w:color w:val="0D0D0D" w:themeColor="text1" w:themeTint="F2"/>
          <w:shd w:val="clear" w:color="auto" w:fill="FFFFFF"/>
        </w:rPr>
        <w:t>, algemene voorwaarden</w:t>
      </w:r>
      <w:r w:rsidR="005F288F">
        <w:rPr>
          <w:color w:val="0D0D0D" w:themeColor="text1" w:themeTint="F2"/>
          <w:shd w:val="clear" w:color="auto" w:fill="FFFFFF"/>
        </w:rPr>
        <w:t xml:space="preserve"> en grote wederpartijen’, </w:t>
      </w:r>
      <w:r w:rsidR="005F288F" w:rsidRPr="005F288F">
        <w:rPr>
          <w:i/>
          <w:iCs/>
          <w:color w:val="0D0D0D" w:themeColor="text1" w:themeTint="F2"/>
          <w:shd w:val="clear" w:color="auto" w:fill="FFFFFF"/>
        </w:rPr>
        <w:t>NTBR</w:t>
      </w:r>
      <w:r w:rsidR="005F288F">
        <w:rPr>
          <w:color w:val="0D0D0D" w:themeColor="text1" w:themeTint="F2"/>
          <w:shd w:val="clear" w:color="auto" w:fill="FFFFFF"/>
        </w:rPr>
        <w:t xml:space="preserve"> 2005/6.</w:t>
      </w:r>
    </w:p>
    <w:p w14:paraId="05C03ACB" w14:textId="0657A06D" w:rsidR="00855BA7" w:rsidRPr="00BE686C" w:rsidRDefault="00855BA7" w:rsidP="00196BD8">
      <w:pPr>
        <w:spacing w:after="0" w:line="276" w:lineRule="auto"/>
        <w:jc w:val="both"/>
        <w:rPr>
          <w:b/>
          <w:bCs/>
          <w:color w:val="0D0D0D" w:themeColor="text1" w:themeTint="F2"/>
          <w:shd w:val="clear" w:color="auto" w:fill="FFFFFF"/>
        </w:rPr>
      </w:pPr>
      <w:r w:rsidRPr="00BE686C">
        <w:rPr>
          <w:b/>
          <w:bCs/>
          <w:color w:val="0D0D0D" w:themeColor="text1" w:themeTint="F2"/>
          <w:shd w:val="clear" w:color="auto" w:fill="FFFFFF"/>
        </w:rPr>
        <w:t>Willems</w:t>
      </w:r>
      <w:r w:rsidR="004377A5" w:rsidRPr="00BE686C">
        <w:rPr>
          <w:b/>
          <w:bCs/>
          <w:color w:val="0D0D0D" w:themeColor="text1" w:themeTint="F2"/>
          <w:shd w:val="clear" w:color="auto" w:fill="FFFFFF"/>
        </w:rPr>
        <w:t xml:space="preserve">, </w:t>
      </w:r>
      <w:r w:rsidR="004377A5" w:rsidRPr="00BE686C">
        <w:rPr>
          <w:b/>
          <w:bCs/>
          <w:i/>
          <w:iCs/>
          <w:color w:val="0D0D0D" w:themeColor="text1" w:themeTint="F2"/>
          <w:shd w:val="clear" w:color="auto" w:fill="FFFFFF"/>
        </w:rPr>
        <w:t>Contracteren</w:t>
      </w:r>
      <w:r w:rsidR="004377A5" w:rsidRPr="00BE686C">
        <w:rPr>
          <w:b/>
          <w:bCs/>
          <w:color w:val="0D0D0D" w:themeColor="text1" w:themeTint="F2"/>
          <w:shd w:val="clear" w:color="auto" w:fill="FFFFFF"/>
        </w:rPr>
        <w:t xml:space="preserve"> 2013.</w:t>
      </w:r>
    </w:p>
    <w:p w14:paraId="529C1E0E" w14:textId="7040B4E7" w:rsidR="00DE6C8D" w:rsidRDefault="00F22873" w:rsidP="00196BD8">
      <w:pPr>
        <w:spacing w:line="276" w:lineRule="auto"/>
        <w:jc w:val="both"/>
        <w:rPr>
          <w:color w:val="0D0D0D" w:themeColor="text1" w:themeTint="F2"/>
          <w:shd w:val="clear" w:color="auto" w:fill="FFFFFF"/>
        </w:rPr>
      </w:pPr>
      <w:r>
        <w:rPr>
          <w:color w:val="0D0D0D" w:themeColor="text1" w:themeTint="F2"/>
          <w:shd w:val="clear" w:color="auto" w:fill="FFFFFF"/>
        </w:rPr>
        <w:t>R.A.F. Willems, ‘Het hanteren van algemene voorwaarden</w:t>
      </w:r>
      <w:r w:rsidR="00855BA7">
        <w:rPr>
          <w:color w:val="0D0D0D" w:themeColor="text1" w:themeTint="F2"/>
          <w:shd w:val="clear" w:color="auto" w:fill="FFFFFF"/>
        </w:rPr>
        <w:t xml:space="preserve">: werk aan de webwinkel’, </w:t>
      </w:r>
      <w:r w:rsidR="00855BA7" w:rsidRPr="00196B59">
        <w:rPr>
          <w:i/>
          <w:iCs/>
          <w:color w:val="0D0D0D" w:themeColor="text1" w:themeTint="F2"/>
          <w:shd w:val="clear" w:color="auto" w:fill="FFFFFF"/>
        </w:rPr>
        <w:t>Contracteren</w:t>
      </w:r>
      <w:r w:rsidR="00855BA7">
        <w:rPr>
          <w:color w:val="0D0D0D" w:themeColor="text1" w:themeTint="F2"/>
          <w:shd w:val="clear" w:color="auto" w:fill="FFFFFF"/>
        </w:rPr>
        <w:t xml:space="preserve"> 2013/2. </w:t>
      </w:r>
    </w:p>
    <w:p w14:paraId="58CEFFBA" w14:textId="2042FDE4" w:rsidR="000E1E80" w:rsidRPr="0053356C" w:rsidRDefault="000E1E80" w:rsidP="00196BD8">
      <w:pPr>
        <w:spacing w:after="0" w:line="276" w:lineRule="auto"/>
        <w:jc w:val="both"/>
        <w:rPr>
          <w:b/>
          <w:bCs/>
          <w:color w:val="0D0D0D" w:themeColor="text1" w:themeTint="F2"/>
          <w:shd w:val="clear" w:color="auto" w:fill="FFFFFF"/>
        </w:rPr>
      </w:pPr>
      <w:r w:rsidRPr="0053356C">
        <w:rPr>
          <w:b/>
          <w:bCs/>
          <w:color w:val="0D0D0D" w:themeColor="text1" w:themeTint="F2"/>
          <w:shd w:val="clear" w:color="auto" w:fill="FFFFFF"/>
        </w:rPr>
        <w:t xml:space="preserve">Zippro, </w:t>
      </w:r>
      <w:r w:rsidR="00F50422" w:rsidRPr="0053356C">
        <w:rPr>
          <w:b/>
          <w:bCs/>
          <w:i/>
          <w:iCs/>
          <w:color w:val="0D0D0D" w:themeColor="text1" w:themeTint="F2"/>
          <w:shd w:val="clear" w:color="auto" w:fill="FFFFFF"/>
        </w:rPr>
        <w:t>MvV</w:t>
      </w:r>
      <w:r w:rsidR="00F50422" w:rsidRPr="0053356C">
        <w:rPr>
          <w:b/>
          <w:bCs/>
          <w:color w:val="0D0D0D" w:themeColor="text1" w:themeTint="F2"/>
          <w:shd w:val="clear" w:color="auto" w:fill="FFFFFF"/>
        </w:rPr>
        <w:t xml:space="preserve"> 2023.</w:t>
      </w:r>
    </w:p>
    <w:p w14:paraId="2D9612FB" w14:textId="0A44FBC1" w:rsidR="00F81F32" w:rsidRDefault="00F50422" w:rsidP="00196BD8">
      <w:pPr>
        <w:spacing w:line="276" w:lineRule="auto"/>
        <w:jc w:val="both"/>
        <w:rPr>
          <w:color w:val="0D0D0D" w:themeColor="text1" w:themeTint="F2"/>
          <w:shd w:val="clear" w:color="auto" w:fill="FFFFFF"/>
        </w:rPr>
      </w:pPr>
      <w:r>
        <w:rPr>
          <w:color w:val="0D0D0D" w:themeColor="text1" w:themeTint="F2"/>
          <w:shd w:val="clear" w:color="auto" w:fill="FFFFFF"/>
        </w:rPr>
        <w:t xml:space="preserve">E.J. Zippro, </w:t>
      </w:r>
      <w:r w:rsidR="00F15F43">
        <w:rPr>
          <w:color w:val="0D0D0D" w:themeColor="text1" w:themeTint="F2"/>
          <w:shd w:val="clear" w:color="auto" w:fill="FFFFFF"/>
        </w:rPr>
        <w:t xml:space="preserve">‘Opkomst van de bekendheidsuitzondering en ‘ondergang’ van de terhandstellingsplicht van algemene voorwaarden’, </w:t>
      </w:r>
      <w:r w:rsidR="0053356C" w:rsidRPr="0053356C">
        <w:rPr>
          <w:i/>
          <w:iCs/>
          <w:color w:val="0D0D0D" w:themeColor="text1" w:themeTint="F2"/>
          <w:shd w:val="clear" w:color="auto" w:fill="FFFFFF"/>
        </w:rPr>
        <w:t>MvV</w:t>
      </w:r>
      <w:r w:rsidR="0053356C">
        <w:rPr>
          <w:color w:val="0D0D0D" w:themeColor="text1" w:themeTint="F2"/>
          <w:shd w:val="clear" w:color="auto" w:fill="FFFFFF"/>
        </w:rPr>
        <w:t xml:space="preserve"> 2023/2.</w:t>
      </w:r>
    </w:p>
    <w:p w14:paraId="1F3A3C6F" w14:textId="77777777" w:rsidR="006D1528" w:rsidRDefault="006D1528" w:rsidP="006D1528">
      <w:pPr>
        <w:pStyle w:val="Kop2"/>
        <w:spacing w:line="276" w:lineRule="auto"/>
        <w:jc w:val="both"/>
        <w:rPr>
          <w:rFonts w:asciiTheme="minorHAnsi" w:hAnsiTheme="minorHAnsi" w:cs="Calibri"/>
        </w:rPr>
      </w:pPr>
      <w:bookmarkStart w:id="68" w:name="_Toc182382096"/>
      <w:bookmarkStart w:id="69" w:name="_Toc186375533"/>
      <w:r w:rsidRPr="00B04838">
        <w:rPr>
          <w:rFonts w:asciiTheme="minorHAnsi" w:hAnsiTheme="minorHAnsi" w:cs="Calibri"/>
        </w:rPr>
        <w:t xml:space="preserve">Europese </w:t>
      </w:r>
      <w:r>
        <w:rPr>
          <w:rFonts w:asciiTheme="minorHAnsi" w:hAnsiTheme="minorHAnsi" w:cs="Calibri"/>
        </w:rPr>
        <w:t>rechtspraak</w:t>
      </w:r>
      <w:bookmarkEnd w:id="68"/>
      <w:bookmarkEnd w:id="69"/>
    </w:p>
    <w:p w14:paraId="182D2360" w14:textId="77777777" w:rsidR="006D1528" w:rsidRPr="008E6C01" w:rsidRDefault="006D1528" w:rsidP="006D1528">
      <w:pPr>
        <w:spacing w:line="276" w:lineRule="auto"/>
        <w:jc w:val="both"/>
      </w:pPr>
      <w:r w:rsidRPr="008E6C01">
        <w:t>HvJ</w:t>
      </w:r>
      <w:r>
        <w:t xml:space="preserve"> EU </w:t>
      </w:r>
      <w:r w:rsidRPr="008E6C01">
        <w:t xml:space="preserve">11 april 2000, ECLI:EU:C:2000:199. </w:t>
      </w:r>
    </w:p>
    <w:p w14:paraId="01E64311" w14:textId="5AF96F80" w:rsidR="00F81F32" w:rsidRPr="006D1528" w:rsidRDefault="006D1528" w:rsidP="00196BD8">
      <w:pPr>
        <w:spacing w:line="276" w:lineRule="auto"/>
        <w:jc w:val="both"/>
        <w:rPr>
          <w:rFonts w:cs="Calibri"/>
        </w:rPr>
      </w:pPr>
      <w:r w:rsidRPr="00B04838">
        <w:rPr>
          <w:rFonts w:cs="Calibri"/>
        </w:rPr>
        <w:t>HvJ EU 30 januari 2018, ECLI:EU:C:2018:44 (</w:t>
      </w:r>
      <w:r w:rsidRPr="00B04838">
        <w:rPr>
          <w:rFonts w:cs="Calibri"/>
          <w:i/>
          <w:iCs/>
        </w:rPr>
        <w:t>Gemeente Appingedam</w:t>
      </w:r>
      <w:r w:rsidRPr="00B04838">
        <w:rPr>
          <w:rFonts w:cs="Calibri"/>
        </w:rPr>
        <w:t>).</w:t>
      </w:r>
    </w:p>
    <w:p w14:paraId="47F49D17" w14:textId="77777777" w:rsidR="0092759A" w:rsidRDefault="0092759A" w:rsidP="00196BD8">
      <w:pPr>
        <w:pStyle w:val="Kop2"/>
        <w:spacing w:line="276" w:lineRule="auto"/>
        <w:jc w:val="both"/>
        <w:rPr>
          <w:rFonts w:asciiTheme="minorHAnsi" w:hAnsiTheme="minorHAnsi" w:cs="Calibri"/>
        </w:rPr>
      </w:pPr>
      <w:bookmarkStart w:id="70" w:name="_Toc182382097"/>
      <w:bookmarkStart w:id="71" w:name="_Toc186375534"/>
      <w:r w:rsidRPr="00B04838">
        <w:rPr>
          <w:rFonts w:asciiTheme="minorHAnsi" w:hAnsiTheme="minorHAnsi" w:cs="Calibri"/>
        </w:rPr>
        <w:t>Uitspraken Hoge Raad</w:t>
      </w:r>
      <w:bookmarkEnd w:id="70"/>
      <w:bookmarkEnd w:id="71"/>
    </w:p>
    <w:p w14:paraId="03265A95" w14:textId="1296F4FA" w:rsidR="00B524BE" w:rsidRPr="00B524BE" w:rsidRDefault="00B524BE" w:rsidP="00196BD8">
      <w:pPr>
        <w:spacing w:line="276" w:lineRule="auto"/>
        <w:jc w:val="both"/>
      </w:pPr>
      <w:r>
        <w:t>HR 13 maart 1990, ECLI:NL:HR:1990:AD</w:t>
      </w:r>
      <w:r w:rsidR="00F707BE">
        <w:t>1068 (</w:t>
      </w:r>
      <w:r w:rsidR="00F707BE" w:rsidRPr="00F707BE">
        <w:rPr>
          <w:i/>
          <w:iCs/>
        </w:rPr>
        <w:t>Botman/Van Haaster</w:t>
      </w:r>
      <w:r w:rsidR="00F707BE">
        <w:t>).</w:t>
      </w:r>
    </w:p>
    <w:p w14:paraId="0E3B5725" w14:textId="73476D3D" w:rsidR="0092759A" w:rsidRDefault="0092759A" w:rsidP="00196BD8">
      <w:pPr>
        <w:spacing w:line="276" w:lineRule="auto"/>
        <w:jc w:val="both"/>
      </w:pPr>
      <w:r>
        <w:t>HR 1 oktober 1999, ECLI:NL:HR:</w:t>
      </w:r>
      <w:r w:rsidR="00320C50">
        <w:t>1999: ZC</w:t>
      </w:r>
      <w:r>
        <w:t>2977 (</w:t>
      </w:r>
      <w:r w:rsidRPr="008D5E89">
        <w:rPr>
          <w:i/>
          <w:iCs/>
        </w:rPr>
        <w:t>Geurtzen/Kampstaal</w:t>
      </w:r>
      <w:r>
        <w:t>)</w:t>
      </w:r>
    </w:p>
    <w:p w14:paraId="65BBFA99" w14:textId="775D38CF" w:rsidR="00005650" w:rsidRPr="00113434" w:rsidRDefault="0092759A" w:rsidP="00196BD8">
      <w:pPr>
        <w:pStyle w:val="Voetnoottekst"/>
        <w:spacing w:after="240" w:line="276" w:lineRule="auto"/>
        <w:jc w:val="both"/>
        <w:rPr>
          <w:sz w:val="24"/>
          <w:szCs w:val="24"/>
          <w:lang w:val="en-US"/>
        </w:rPr>
      </w:pPr>
      <w:r w:rsidRPr="00113434">
        <w:rPr>
          <w:sz w:val="24"/>
          <w:szCs w:val="24"/>
          <w:lang w:val="en-US"/>
        </w:rPr>
        <w:t>HR 17 december 1999, ECLI:NL:HR:1999:AA3876 (</w:t>
      </w:r>
      <w:r w:rsidRPr="00113434">
        <w:rPr>
          <w:i/>
          <w:iCs/>
          <w:sz w:val="24"/>
          <w:szCs w:val="24"/>
          <w:lang w:val="en-US"/>
        </w:rPr>
        <w:t>Breg/Aper</w:t>
      </w:r>
      <w:r w:rsidRPr="00113434">
        <w:rPr>
          <w:sz w:val="24"/>
          <w:szCs w:val="24"/>
          <w:lang w:val="en-US"/>
        </w:rPr>
        <w:t>).</w:t>
      </w:r>
    </w:p>
    <w:p w14:paraId="79F63885" w14:textId="09AD46C8" w:rsidR="00E63793" w:rsidRDefault="00E63793" w:rsidP="00196BD8">
      <w:pPr>
        <w:spacing w:line="276" w:lineRule="auto"/>
        <w:jc w:val="both"/>
        <w:rPr>
          <w:lang w:val="en-US"/>
        </w:rPr>
      </w:pPr>
      <w:r w:rsidRPr="00FB19EA">
        <w:rPr>
          <w:lang w:val="en-US"/>
        </w:rPr>
        <w:t xml:space="preserve">HR 11 februari 2011, ECLI:NL:HR:2011:BO7108 </w:t>
      </w:r>
      <w:r w:rsidR="00B34B8E" w:rsidRPr="00FB19EA">
        <w:rPr>
          <w:lang w:val="en-US"/>
        </w:rPr>
        <w:t>(First</w:t>
      </w:r>
      <w:r w:rsidRPr="00FB19EA">
        <w:rPr>
          <w:i/>
          <w:iCs/>
          <w:lang w:val="en-US"/>
        </w:rPr>
        <w:t xml:space="preserve"> Data/Attingo</w:t>
      </w:r>
      <w:r>
        <w:rPr>
          <w:lang w:val="en-US"/>
        </w:rPr>
        <w:t>).</w:t>
      </w:r>
    </w:p>
    <w:p w14:paraId="10A268D8" w14:textId="3950AB5D" w:rsidR="00533211" w:rsidRPr="00533211" w:rsidRDefault="00533211" w:rsidP="00196BD8">
      <w:pPr>
        <w:spacing w:line="276" w:lineRule="auto"/>
        <w:jc w:val="both"/>
      </w:pPr>
      <w:r>
        <w:t>HR 11 november 2022, ECLI:NL:HR:2022:1599 (</w:t>
      </w:r>
      <w:r w:rsidRPr="00533211">
        <w:rPr>
          <w:i/>
          <w:iCs/>
        </w:rPr>
        <w:t>De Eendracht/Doens</w:t>
      </w:r>
      <w:r>
        <w:t>).</w:t>
      </w:r>
    </w:p>
    <w:p w14:paraId="39A1DA1D" w14:textId="09ED9192" w:rsidR="0092759A" w:rsidRPr="00113434" w:rsidRDefault="0092759A" w:rsidP="00196BD8">
      <w:pPr>
        <w:spacing w:line="276" w:lineRule="auto"/>
        <w:jc w:val="both"/>
        <w:rPr>
          <w:rFonts w:cs="Calibri"/>
        </w:rPr>
      </w:pPr>
      <w:r w:rsidRPr="00113434">
        <w:rPr>
          <w:rFonts w:cs="Calibri"/>
        </w:rPr>
        <w:t xml:space="preserve">HR 16 december 2022, ECLI:NL:PHR:2022:1194, m.nt. P-G Wissink. </w:t>
      </w:r>
    </w:p>
    <w:p w14:paraId="1B46691F" w14:textId="2E376262" w:rsidR="002A3475" w:rsidRDefault="0092759A" w:rsidP="00196BD8">
      <w:pPr>
        <w:spacing w:line="276" w:lineRule="auto"/>
        <w:jc w:val="both"/>
        <w:rPr>
          <w:rFonts w:cs="Calibri"/>
        </w:rPr>
      </w:pPr>
      <w:r w:rsidRPr="00B04838">
        <w:rPr>
          <w:rFonts w:cs="Calibri"/>
        </w:rPr>
        <w:t>HR 2 juni 2023, ECLI:NL:HR:2023:835.</w:t>
      </w:r>
    </w:p>
    <w:p w14:paraId="5FEC7E25" w14:textId="430675E5" w:rsidR="0092759A" w:rsidRDefault="0092759A" w:rsidP="00196BD8">
      <w:pPr>
        <w:pStyle w:val="Kop2"/>
        <w:spacing w:line="276" w:lineRule="auto"/>
        <w:jc w:val="both"/>
      </w:pPr>
      <w:bookmarkStart w:id="72" w:name="_Toc182382098"/>
      <w:bookmarkStart w:id="73" w:name="_Toc186375535"/>
      <w:r>
        <w:t xml:space="preserve">Uitspraken </w:t>
      </w:r>
      <w:r w:rsidR="00542C85">
        <w:t>lagere rechtspraak</w:t>
      </w:r>
      <w:bookmarkEnd w:id="72"/>
      <w:bookmarkEnd w:id="73"/>
      <w:r>
        <w:t xml:space="preserve"> </w:t>
      </w:r>
    </w:p>
    <w:p w14:paraId="104A6B6C" w14:textId="2A0BDC4F" w:rsidR="00B5046E" w:rsidRDefault="00BB096B" w:rsidP="00196BD8">
      <w:pPr>
        <w:spacing w:line="276" w:lineRule="auto"/>
        <w:jc w:val="both"/>
      </w:pPr>
      <w:r>
        <w:t>Rb.</w:t>
      </w:r>
      <w:r w:rsidR="00551A79">
        <w:t xml:space="preserve"> Gelderland, locatie </w:t>
      </w:r>
      <w:r w:rsidR="00B5046E">
        <w:t>Nijmegen (sector kanton) 23 januari 1998, NJK 1998.</w:t>
      </w:r>
    </w:p>
    <w:p w14:paraId="6EE99E28" w14:textId="49AE245B" w:rsidR="00F862A8" w:rsidRPr="00F862A8" w:rsidRDefault="009F4A5C" w:rsidP="00F862A8">
      <w:pPr>
        <w:pStyle w:val="Voetnoottekst"/>
        <w:spacing w:after="240"/>
        <w:rPr>
          <w:sz w:val="24"/>
          <w:szCs w:val="24"/>
          <w:lang w:val="en-US"/>
        </w:rPr>
      </w:pPr>
      <w:r w:rsidRPr="001C688E">
        <w:rPr>
          <w:sz w:val="24"/>
          <w:szCs w:val="24"/>
          <w:lang w:val="en-US"/>
        </w:rPr>
        <w:t xml:space="preserve">Rb. Amsterdam 27 februari 2013,  ECLI:NL:RBAMS:2013:BZ5806. </w:t>
      </w:r>
    </w:p>
    <w:p w14:paraId="765AAC9C" w14:textId="0EAA3C5F" w:rsidR="000D79E7" w:rsidRDefault="000D79E7" w:rsidP="00196BD8">
      <w:pPr>
        <w:spacing w:line="276" w:lineRule="auto"/>
        <w:jc w:val="both"/>
        <w:rPr>
          <w:lang w:val="en-US"/>
        </w:rPr>
      </w:pPr>
      <w:r w:rsidRPr="001D5805">
        <w:rPr>
          <w:lang w:val="en-US"/>
        </w:rPr>
        <w:t xml:space="preserve">Hof Arnhem 11 </w:t>
      </w:r>
      <w:proofErr w:type="spellStart"/>
      <w:r w:rsidRPr="001D5805">
        <w:rPr>
          <w:lang w:val="en-US"/>
        </w:rPr>
        <w:t>december</w:t>
      </w:r>
      <w:proofErr w:type="spellEnd"/>
      <w:r w:rsidRPr="001D5805">
        <w:rPr>
          <w:lang w:val="en-US"/>
        </w:rPr>
        <w:t xml:space="preserve"> 2012, ECLI:NL:GHARN:2012:BY</w:t>
      </w:r>
      <w:r>
        <w:rPr>
          <w:lang w:val="en-US"/>
        </w:rPr>
        <w:t>5306.</w:t>
      </w:r>
    </w:p>
    <w:p w14:paraId="1D1AA94E" w14:textId="7597E56B" w:rsidR="006E03B2" w:rsidRPr="006E03B2" w:rsidRDefault="006E03B2" w:rsidP="00196BD8">
      <w:pPr>
        <w:spacing w:line="276" w:lineRule="auto"/>
        <w:jc w:val="both"/>
      </w:pPr>
      <w:r>
        <w:lastRenderedPageBreak/>
        <w:t>R</w:t>
      </w:r>
      <w:r w:rsidR="00BB096B">
        <w:t>b.</w:t>
      </w:r>
      <w:r>
        <w:t xml:space="preserve"> Rotterdam, locatie Dordrecht, 21 juli 2016, ECLI:</w:t>
      </w:r>
      <w:proofErr w:type="gramStart"/>
      <w:r>
        <w:t>NL:RBROT</w:t>
      </w:r>
      <w:proofErr w:type="gramEnd"/>
      <w:r>
        <w:t>:2016:6108 (</w:t>
      </w:r>
      <w:r w:rsidRPr="001130D6">
        <w:rPr>
          <w:i/>
          <w:iCs/>
        </w:rPr>
        <w:t>Schipper SBT Brontechniek B.V./Tjaden B.V</w:t>
      </w:r>
      <w:r>
        <w:t>.).</w:t>
      </w:r>
    </w:p>
    <w:p w14:paraId="586879EC" w14:textId="1DC61E20" w:rsidR="006D1528" w:rsidRPr="006E03B2" w:rsidRDefault="006E03B2" w:rsidP="00196BD8">
      <w:pPr>
        <w:spacing w:line="276" w:lineRule="auto"/>
        <w:jc w:val="both"/>
      </w:pPr>
      <w:r>
        <w:t>R</w:t>
      </w:r>
      <w:r w:rsidR="00BB096B">
        <w:t>b.</w:t>
      </w:r>
      <w:r>
        <w:t xml:space="preserve"> Gelderland, </w:t>
      </w:r>
      <w:r w:rsidR="00551A79">
        <w:t>l</w:t>
      </w:r>
      <w:r>
        <w:t>ocatie Nijmegen, 21 februari 2020, ECLI:</w:t>
      </w:r>
      <w:proofErr w:type="gramStart"/>
      <w:r w:rsidR="00FC01A1">
        <w:t>NL:RBGEL</w:t>
      </w:r>
      <w:proofErr w:type="gramEnd"/>
      <w:r>
        <w:t>:2020:1293 (</w:t>
      </w:r>
      <w:r w:rsidRPr="001130D6">
        <w:rPr>
          <w:i/>
          <w:iCs/>
        </w:rPr>
        <w:t>Reisgraag</w:t>
      </w:r>
      <w:r>
        <w:t>.</w:t>
      </w:r>
      <w:r w:rsidRPr="001130D6">
        <w:rPr>
          <w:i/>
          <w:iCs/>
        </w:rPr>
        <w:t>nl</w:t>
      </w:r>
      <w:r>
        <w:t>)</w:t>
      </w:r>
    </w:p>
    <w:p w14:paraId="4C209CD1" w14:textId="6D2AB2D3" w:rsidR="008506B1" w:rsidRDefault="008506B1" w:rsidP="00196BD8">
      <w:pPr>
        <w:pStyle w:val="Kop2"/>
        <w:spacing w:line="276" w:lineRule="auto"/>
        <w:jc w:val="both"/>
      </w:pPr>
      <w:bookmarkStart w:id="74" w:name="_Toc182382099"/>
      <w:bookmarkStart w:id="75" w:name="_Toc186375536"/>
      <w:r>
        <w:t>Uitsprake</w:t>
      </w:r>
      <w:r w:rsidR="00CD000E">
        <w:t>n</w:t>
      </w:r>
      <w:r>
        <w:t xml:space="preserve"> Raad van </w:t>
      </w:r>
      <w:r w:rsidR="00CD000E">
        <w:t>State</w:t>
      </w:r>
      <w:bookmarkEnd w:id="74"/>
      <w:bookmarkEnd w:id="75"/>
    </w:p>
    <w:p w14:paraId="4ED98512" w14:textId="7C69428A" w:rsidR="00CD000E" w:rsidRPr="008E6C01" w:rsidRDefault="00CD000E" w:rsidP="00196BD8">
      <w:pPr>
        <w:spacing w:line="276" w:lineRule="auto"/>
        <w:jc w:val="both"/>
      </w:pPr>
      <w:r w:rsidRPr="008E6C01">
        <w:t xml:space="preserve">ABRvS 30 april 2014, ECLI:NL:RVS:2014:1561. </w:t>
      </w:r>
    </w:p>
    <w:p w14:paraId="77240E08" w14:textId="547E60E7" w:rsidR="006D1528" w:rsidRDefault="00CD000E" w:rsidP="00196BD8">
      <w:pPr>
        <w:spacing w:line="276" w:lineRule="auto"/>
        <w:jc w:val="both"/>
        <w:rPr>
          <w:lang w:val="en-US"/>
        </w:rPr>
      </w:pPr>
      <w:r w:rsidRPr="008E6C01">
        <w:t xml:space="preserve"> </w:t>
      </w:r>
      <w:proofErr w:type="spellStart"/>
      <w:r>
        <w:rPr>
          <w:lang w:val="en-US"/>
        </w:rPr>
        <w:t>ABRvS</w:t>
      </w:r>
      <w:proofErr w:type="spellEnd"/>
      <w:r>
        <w:rPr>
          <w:lang w:val="en-US"/>
        </w:rPr>
        <w:t xml:space="preserve"> 30 </w:t>
      </w:r>
      <w:proofErr w:type="spellStart"/>
      <w:r>
        <w:rPr>
          <w:lang w:val="en-US"/>
        </w:rPr>
        <w:t>juli</w:t>
      </w:r>
      <w:proofErr w:type="spellEnd"/>
      <w:r>
        <w:rPr>
          <w:lang w:val="en-US"/>
        </w:rPr>
        <w:t xml:space="preserve"> 2014, ECLI:NL:RVS:2014:2857.</w:t>
      </w:r>
    </w:p>
    <w:p w14:paraId="30A56274" w14:textId="77777777" w:rsidR="0092759A" w:rsidRDefault="0092759A" w:rsidP="00196BD8">
      <w:pPr>
        <w:pStyle w:val="Kop2"/>
        <w:spacing w:line="276" w:lineRule="auto"/>
        <w:jc w:val="both"/>
      </w:pPr>
      <w:bookmarkStart w:id="76" w:name="_Toc182382100"/>
      <w:bookmarkStart w:id="77" w:name="_Toc186375537"/>
      <w:r>
        <w:t>Kamerstukken</w:t>
      </w:r>
      <w:bookmarkEnd w:id="76"/>
      <w:bookmarkEnd w:id="77"/>
      <w:r>
        <w:t xml:space="preserve"> </w:t>
      </w:r>
    </w:p>
    <w:p w14:paraId="53BEBC81" w14:textId="6CC1E9FB" w:rsidR="0092759A" w:rsidRDefault="0092759A" w:rsidP="00196BD8">
      <w:pPr>
        <w:spacing w:line="276" w:lineRule="auto"/>
        <w:jc w:val="both"/>
      </w:pPr>
      <w:r w:rsidRPr="0071508E">
        <w:rPr>
          <w:i/>
          <w:iCs/>
        </w:rPr>
        <w:t xml:space="preserve">Kamerstukken II </w:t>
      </w:r>
      <w:r>
        <w:t>2001/02, 28 197, nr. 3</w:t>
      </w:r>
      <w:r w:rsidR="004C5994">
        <w:t>.</w:t>
      </w:r>
    </w:p>
    <w:p w14:paraId="765A81CC" w14:textId="3F6D1452" w:rsidR="004C5994" w:rsidRDefault="004C5994" w:rsidP="00196BD8">
      <w:pPr>
        <w:spacing w:line="276" w:lineRule="auto"/>
        <w:jc w:val="both"/>
      </w:pPr>
      <w:r w:rsidRPr="004C5994">
        <w:rPr>
          <w:i/>
          <w:iCs/>
        </w:rPr>
        <w:t>Kamerstukken I</w:t>
      </w:r>
      <w:r>
        <w:t xml:space="preserve"> 2003/04, 28 197, C.</w:t>
      </w:r>
    </w:p>
    <w:p w14:paraId="079F4FFC" w14:textId="501A3437" w:rsidR="00320531" w:rsidRDefault="00320531" w:rsidP="00196BD8">
      <w:pPr>
        <w:spacing w:line="276" w:lineRule="auto"/>
        <w:jc w:val="both"/>
      </w:pPr>
      <w:r w:rsidRPr="00BD0C48">
        <w:rPr>
          <w:i/>
          <w:iCs/>
        </w:rPr>
        <w:t>Kamerstukken</w:t>
      </w:r>
      <w:r>
        <w:t xml:space="preserve"> </w:t>
      </w:r>
      <w:r w:rsidRPr="001D6C53">
        <w:rPr>
          <w:i/>
          <w:iCs/>
        </w:rPr>
        <w:t>II</w:t>
      </w:r>
      <w:r>
        <w:t xml:space="preserve"> 2007/08, 31 358, nr. 1-3.</w:t>
      </w:r>
    </w:p>
    <w:p w14:paraId="2EE999EA" w14:textId="03C3EF6C" w:rsidR="00907E92" w:rsidRDefault="00907E92" w:rsidP="00196BD8">
      <w:pPr>
        <w:spacing w:line="276" w:lineRule="auto"/>
        <w:jc w:val="both"/>
      </w:pPr>
      <w:r w:rsidRPr="00907E92">
        <w:rPr>
          <w:i/>
          <w:iCs/>
        </w:rPr>
        <w:t>Kamerstukken II</w:t>
      </w:r>
      <w:r>
        <w:t xml:space="preserve"> 2007/08, 31 579, </w:t>
      </w:r>
      <w:r w:rsidR="00EF46FE">
        <w:t xml:space="preserve">nr. </w:t>
      </w:r>
      <w:r>
        <w:t>3</w:t>
      </w:r>
      <w:r w:rsidR="00EF46FE">
        <w:t xml:space="preserve">. </w:t>
      </w:r>
    </w:p>
    <w:p w14:paraId="393193DF" w14:textId="5EBA139E" w:rsidR="00C434F0" w:rsidRDefault="00C434F0" w:rsidP="00196BD8">
      <w:pPr>
        <w:spacing w:line="276" w:lineRule="auto"/>
        <w:jc w:val="both"/>
      </w:pPr>
      <w:r w:rsidRPr="0008418B">
        <w:rPr>
          <w:i/>
          <w:iCs/>
        </w:rPr>
        <w:t>Kamerstukken II</w:t>
      </w:r>
      <w:r>
        <w:t xml:space="preserve"> 2008/09, 31 358, nr. 7.</w:t>
      </w:r>
    </w:p>
    <w:p w14:paraId="626C5D16" w14:textId="39EB0AEF" w:rsidR="00442F14" w:rsidRPr="0071508E" w:rsidRDefault="00442F14" w:rsidP="00196BD8">
      <w:pPr>
        <w:spacing w:line="276" w:lineRule="auto"/>
        <w:jc w:val="both"/>
      </w:pPr>
      <w:r>
        <w:t xml:space="preserve">Kamerstukken II 2008/09, 31 </w:t>
      </w:r>
      <w:r w:rsidR="00132BAC">
        <w:t>859, nr. 1-2.</w:t>
      </w:r>
    </w:p>
    <w:p w14:paraId="5099FC90" w14:textId="77777777" w:rsidR="0092759A" w:rsidRPr="00550EBC" w:rsidRDefault="0092759A" w:rsidP="00196BD8">
      <w:pPr>
        <w:spacing w:line="276" w:lineRule="auto"/>
        <w:jc w:val="both"/>
      </w:pPr>
      <w:r w:rsidRPr="00BD0C48">
        <w:rPr>
          <w:i/>
          <w:iCs/>
        </w:rPr>
        <w:t>Kamerstukken</w:t>
      </w:r>
      <w:r>
        <w:t xml:space="preserve"> </w:t>
      </w:r>
      <w:r w:rsidRPr="001D6C53">
        <w:rPr>
          <w:i/>
          <w:iCs/>
        </w:rPr>
        <w:t>I</w:t>
      </w:r>
      <w:r>
        <w:t xml:space="preserve"> 2008/09, 31 579, nr. B.</w:t>
      </w:r>
    </w:p>
    <w:p w14:paraId="2FDB6E14" w14:textId="77777777" w:rsidR="00935BC3" w:rsidRDefault="0092759A" w:rsidP="00196BD8">
      <w:pPr>
        <w:spacing w:line="276" w:lineRule="auto"/>
        <w:jc w:val="both"/>
      </w:pPr>
      <w:r w:rsidRPr="00BD0C48">
        <w:rPr>
          <w:i/>
          <w:iCs/>
        </w:rPr>
        <w:t>Kamerstukken</w:t>
      </w:r>
      <w:r>
        <w:t xml:space="preserve"> </w:t>
      </w:r>
      <w:r w:rsidRPr="001D6C53">
        <w:rPr>
          <w:i/>
          <w:iCs/>
        </w:rPr>
        <w:t>II</w:t>
      </w:r>
      <w:r>
        <w:t xml:space="preserve"> 2009/10, 31 859, nr. 4</w:t>
      </w:r>
    </w:p>
    <w:p w14:paraId="095BA8BF" w14:textId="77777777" w:rsidR="00460998" w:rsidRDefault="00935BC3" w:rsidP="00196BD8">
      <w:pPr>
        <w:spacing w:line="276" w:lineRule="auto"/>
        <w:jc w:val="both"/>
      </w:pPr>
      <w:r w:rsidRPr="00935BC3">
        <w:rPr>
          <w:i/>
          <w:iCs/>
        </w:rPr>
        <w:t>Kamerstukken</w:t>
      </w:r>
      <w:r>
        <w:t xml:space="preserve"> </w:t>
      </w:r>
      <w:r w:rsidRPr="00935BC3">
        <w:rPr>
          <w:i/>
          <w:iCs/>
        </w:rPr>
        <w:t xml:space="preserve">I </w:t>
      </w:r>
      <w:r>
        <w:t xml:space="preserve">2010/2011, 31 358, G. </w:t>
      </w:r>
    </w:p>
    <w:p w14:paraId="1C65650E" w14:textId="6DBD8454" w:rsidR="00460998" w:rsidRDefault="00460998" w:rsidP="00196BD8">
      <w:pPr>
        <w:pStyle w:val="Kop1"/>
        <w:spacing w:line="276" w:lineRule="auto"/>
        <w:jc w:val="both"/>
        <w:rPr>
          <w:shd w:val="clear" w:color="auto" w:fill="FFFFFF"/>
        </w:rPr>
      </w:pPr>
      <w:bookmarkStart w:id="78" w:name="_Toc182382101"/>
      <w:bookmarkStart w:id="79" w:name="_Toc186375538"/>
      <w:r>
        <w:rPr>
          <w:shd w:val="clear" w:color="auto" w:fill="FFFFFF"/>
        </w:rPr>
        <w:t>Bronvermelding België</w:t>
      </w:r>
      <w:bookmarkEnd w:id="78"/>
      <w:bookmarkEnd w:id="79"/>
    </w:p>
    <w:p w14:paraId="48B815DF" w14:textId="1789FFBA" w:rsidR="00460998" w:rsidRDefault="00460998" w:rsidP="00F862A8">
      <w:pPr>
        <w:pStyle w:val="Kop2"/>
        <w:spacing w:before="0" w:after="0" w:line="276" w:lineRule="auto"/>
        <w:jc w:val="both"/>
      </w:pPr>
      <w:bookmarkStart w:id="80" w:name="_Toc182382102"/>
      <w:bookmarkStart w:id="81" w:name="_Toc186375539"/>
      <w:r>
        <w:t>Literatuur</w:t>
      </w:r>
      <w:bookmarkEnd w:id="80"/>
      <w:bookmarkEnd w:id="81"/>
    </w:p>
    <w:p w14:paraId="6D97FBFE" w14:textId="67CA083D" w:rsidR="00EC681E" w:rsidRPr="00EC681E" w:rsidRDefault="00EC681E" w:rsidP="00196BD8">
      <w:pPr>
        <w:spacing w:before="240" w:after="0" w:line="276" w:lineRule="auto"/>
        <w:jc w:val="both"/>
        <w:rPr>
          <w:b/>
          <w:bCs/>
        </w:rPr>
      </w:pPr>
      <w:r>
        <w:rPr>
          <w:b/>
          <w:bCs/>
        </w:rPr>
        <w:t>Ballon &amp; Van Dormael</w:t>
      </w:r>
      <w:r w:rsidR="00CC2373">
        <w:rPr>
          <w:b/>
          <w:bCs/>
        </w:rPr>
        <w:t xml:space="preserve">, </w:t>
      </w:r>
      <w:r w:rsidR="00CC2373" w:rsidRPr="00CC2373">
        <w:rPr>
          <w:b/>
          <w:bCs/>
          <w:i/>
          <w:iCs/>
        </w:rPr>
        <w:t>Proactief ondernemingsrecht</w:t>
      </w:r>
      <w:r w:rsidR="0070729E">
        <w:rPr>
          <w:b/>
          <w:bCs/>
        </w:rPr>
        <w:t xml:space="preserve"> 2013.</w:t>
      </w:r>
    </w:p>
    <w:p w14:paraId="394E08F7" w14:textId="5B206FEB" w:rsidR="00FF2419" w:rsidRDefault="00FF2419" w:rsidP="00196BD8">
      <w:pPr>
        <w:spacing w:line="276" w:lineRule="auto"/>
        <w:jc w:val="both"/>
      </w:pPr>
      <w:r w:rsidRPr="00987D0F">
        <w:t>G.J. Ballon</w:t>
      </w:r>
      <w:r w:rsidR="00AD4A68" w:rsidRPr="00987D0F">
        <w:t xml:space="preserve"> &amp; K.J.</w:t>
      </w:r>
      <w:r w:rsidR="00987D0F" w:rsidRPr="00987D0F">
        <w:t xml:space="preserve"> </w:t>
      </w:r>
      <w:r w:rsidR="00987D0F">
        <w:t xml:space="preserve">van Dormael, ‘Creatief met factuurvoorwaarden’, </w:t>
      </w:r>
      <w:r w:rsidR="00380B05">
        <w:t>in: Vlaams Pleitgenootschap</w:t>
      </w:r>
      <w:r w:rsidR="00410073">
        <w:t xml:space="preserve"> (ed.), </w:t>
      </w:r>
      <w:r w:rsidR="0024214D" w:rsidRPr="00EC681E">
        <w:rPr>
          <w:i/>
          <w:iCs/>
        </w:rPr>
        <w:t>Proactief ondernemingsrecht</w:t>
      </w:r>
      <w:r w:rsidR="0024214D">
        <w:t>, Antwerpen:</w:t>
      </w:r>
      <w:r w:rsidR="0015095C">
        <w:t xml:space="preserve"> Intersentia</w:t>
      </w:r>
      <w:r w:rsidR="00EC681E">
        <w:t xml:space="preserve"> 2013.</w:t>
      </w:r>
    </w:p>
    <w:p w14:paraId="296963CE" w14:textId="103B3B31" w:rsidR="008F05F2" w:rsidRPr="00CF2C75" w:rsidRDefault="008F05F2" w:rsidP="00196BD8">
      <w:pPr>
        <w:spacing w:after="0" w:line="276" w:lineRule="auto"/>
        <w:jc w:val="both"/>
        <w:rPr>
          <w:b/>
          <w:bCs/>
        </w:rPr>
      </w:pPr>
      <w:r w:rsidRPr="00CF2C75">
        <w:rPr>
          <w:b/>
          <w:bCs/>
        </w:rPr>
        <w:t xml:space="preserve">Borreman, </w:t>
      </w:r>
      <w:r w:rsidRPr="00CF2C75">
        <w:rPr>
          <w:b/>
          <w:bCs/>
          <w:i/>
          <w:iCs/>
        </w:rPr>
        <w:t>TBBR/RGDC</w:t>
      </w:r>
      <w:r w:rsidRPr="00CF2C75">
        <w:rPr>
          <w:b/>
          <w:bCs/>
        </w:rPr>
        <w:t xml:space="preserve"> 2019</w:t>
      </w:r>
      <w:r w:rsidR="00CF2C75" w:rsidRPr="00CF2C75">
        <w:rPr>
          <w:b/>
          <w:bCs/>
        </w:rPr>
        <w:t>.</w:t>
      </w:r>
    </w:p>
    <w:p w14:paraId="251054D9" w14:textId="5CE1E391" w:rsidR="00EC18C8" w:rsidRDefault="00EC18C8" w:rsidP="00196BD8">
      <w:pPr>
        <w:spacing w:line="276" w:lineRule="auto"/>
        <w:jc w:val="both"/>
      </w:pPr>
      <w:r>
        <w:t xml:space="preserve">R. Borreman, </w:t>
      </w:r>
      <w:r w:rsidR="006A72ED">
        <w:t xml:space="preserve">‘Noot – opname van algemene voorwaarden in contracten tussen ondernemingen: over de mogelijkheid tot effectieve kennisname </w:t>
      </w:r>
      <w:r w:rsidR="008F05F2">
        <w:t xml:space="preserve">ervan en de vermoedens van kennisname en aanvaarding’, </w:t>
      </w:r>
      <w:r w:rsidR="008F05F2" w:rsidRPr="008F05F2">
        <w:rPr>
          <w:i/>
          <w:iCs/>
        </w:rPr>
        <w:t>TBBR/RGDC</w:t>
      </w:r>
      <w:r w:rsidR="008F05F2">
        <w:t xml:space="preserve"> 2019/3. </w:t>
      </w:r>
    </w:p>
    <w:p w14:paraId="4B912D24" w14:textId="439141F3" w:rsidR="00B77B5D" w:rsidRPr="00B77B5D" w:rsidRDefault="00B77B5D" w:rsidP="00196BD8">
      <w:pPr>
        <w:spacing w:after="0" w:line="276" w:lineRule="auto"/>
        <w:jc w:val="both"/>
        <w:rPr>
          <w:b/>
          <w:bCs/>
        </w:rPr>
      </w:pPr>
      <w:r w:rsidRPr="00B77B5D">
        <w:rPr>
          <w:b/>
          <w:bCs/>
        </w:rPr>
        <w:t xml:space="preserve">Cambie, </w:t>
      </w:r>
      <w:r w:rsidRPr="00B77B5D">
        <w:rPr>
          <w:b/>
          <w:bCs/>
          <w:i/>
          <w:iCs/>
        </w:rPr>
        <w:t>X, Economisch recht. Commentaar met overzicht van rechtspraak en rechtsleer</w:t>
      </w:r>
      <w:r w:rsidRPr="00B77B5D">
        <w:rPr>
          <w:b/>
          <w:bCs/>
        </w:rPr>
        <w:t xml:space="preserve"> 2023.</w:t>
      </w:r>
    </w:p>
    <w:p w14:paraId="1FFDB3B1" w14:textId="00C0BC52" w:rsidR="000C713C" w:rsidRPr="003564CA" w:rsidRDefault="000C713C" w:rsidP="00196BD8">
      <w:pPr>
        <w:spacing w:line="276" w:lineRule="auto"/>
        <w:jc w:val="both"/>
      </w:pPr>
      <w:r w:rsidRPr="003564CA">
        <w:t xml:space="preserve">P. Cambie, </w:t>
      </w:r>
      <w:r w:rsidR="00FE6135" w:rsidRPr="003564CA">
        <w:t>‘Art. III.74 WER’, in</w:t>
      </w:r>
      <w:r w:rsidR="00110A93" w:rsidRPr="003564CA">
        <w:t xml:space="preserve">: </w:t>
      </w:r>
      <w:r w:rsidR="00110A93" w:rsidRPr="00B77B5D">
        <w:rPr>
          <w:i/>
          <w:iCs/>
        </w:rPr>
        <w:t>X, Economisch recht</w:t>
      </w:r>
      <w:r w:rsidR="003564CA" w:rsidRPr="00B77B5D">
        <w:rPr>
          <w:i/>
          <w:iCs/>
        </w:rPr>
        <w:t>. Commentaar met overzicht van rechtspraak en rechtsleer</w:t>
      </w:r>
      <w:r w:rsidR="003564CA">
        <w:t xml:space="preserve">, </w:t>
      </w:r>
      <w:r w:rsidR="00A37907">
        <w:t>Mechelen: Wolter</w:t>
      </w:r>
      <w:r w:rsidR="00B77B5D">
        <w:t>s Kluwer 2023.</w:t>
      </w:r>
    </w:p>
    <w:p w14:paraId="75CC1520" w14:textId="30238153" w:rsidR="006C5E06" w:rsidRPr="005814CF" w:rsidRDefault="006C5E06" w:rsidP="00196BD8">
      <w:pPr>
        <w:spacing w:after="0" w:line="276" w:lineRule="auto"/>
        <w:jc w:val="both"/>
        <w:rPr>
          <w:b/>
          <w:bCs/>
        </w:rPr>
      </w:pPr>
      <w:r w:rsidRPr="005814CF">
        <w:rPr>
          <w:b/>
          <w:bCs/>
        </w:rPr>
        <w:lastRenderedPageBreak/>
        <w:t xml:space="preserve">De Clerk e.a. 2012. </w:t>
      </w:r>
    </w:p>
    <w:p w14:paraId="4656EDE4" w14:textId="2043143C" w:rsidR="003E08BD" w:rsidRPr="003E08BD" w:rsidRDefault="003D709C" w:rsidP="00196BD8">
      <w:pPr>
        <w:spacing w:line="276" w:lineRule="auto"/>
        <w:jc w:val="both"/>
      </w:pPr>
      <w:r>
        <w:t xml:space="preserve">T de Clerk e.a., </w:t>
      </w:r>
      <w:r w:rsidR="0048767F" w:rsidRPr="007F533B">
        <w:rPr>
          <w:i/>
          <w:iCs/>
        </w:rPr>
        <w:t>Algemene voorwaarden</w:t>
      </w:r>
      <w:r w:rsidR="0048767F">
        <w:t>, Brussel</w:t>
      </w:r>
      <w:r w:rsidR="006C5E06">
        <w:t>: Larcier 2012.</w:t>
      </w:r>
    </w:p>
    <w:p w14:paraId="489281A5" w14:textId="03BD71B4" w:rsidR="00B414FE" w:rsidRPr="00B414FE" w:rsidRDefault="00B414FE" w:rsidP="00196BD8">
      <w:pPr>
        <w:spacing w:after="0" w:line="276" w:lineRule="auto"/>
        <w:jc w:val="both"/>
        <w:rPr>
          <w:b/>
          <w:bCs/>
        </w:rPr>
      </w:pPr>
      <w:r w:rsidRPr="00B414FE">
        <w:rPr>
          <w:b/>
          <w:bCs/>
        </w:rPr>
        <w:t>Dirix en Ballon 2012.</w:t>
      </w:r>
    </w:p>
    <w:p w14:paraId="5CDC1680" w14:textId="46A8264F" w:rsidR="005707E1" w:rsidRDefault="00221BDC" w:rsidP="00196BD8">
      <w:pPr>
        <w:spacing w:line="276" w:lineRule="auto"/>
        <w:jc w:val="both"/>
      </w:pPr>
      <w:r>
        <w:t xml:space="preserve">E. Dirix </w:t>
      </w:r>
      <w:r w:rsidR="00A06E27">
        <w:t xml:space="preserve">en G.L. Ballon, </w:t>
      </w:r>
      <w:r w:rsidR="00A06E27" w:rsidRPr="0077350C">
        <w:rPr>
          <w:i/>
          <w:iCs/>
        </w:rPr>
        <w:t>Factuur</w:t>
      </w:r>
      <w:r w:rsidR="0077350C">
        <w:rPr>
          <w:i/>
          <w:iCs/>
        </w:rPr>
        <w:t xml:space="preserve">, </w:t>
      </w:r>
      <w:r w:rsidR="0077350C">
        <w:t>Mechelen: Wolters Kluwer</w:t>
      </w:r>
      <w:r w:rsidR="00A06E27">
        <w:t xml:space="preserve"> 2012. </w:t>
      </w:r>
    </w:p>
    <w:p w14:paraId="0614C7FD" w14:textId="09F31699" w:rsidR="005707E1" w:rsidRPr="00255F41" w:rsidRDefault="008D2FD1" w:rsidP="00196BD8">
      <w:pPr>
        <w:spacing w:after="0" w:line="276" w:lineRule="auto"/>
        <w:jc w:val="both"/>
        <w:rPr>
          <w:b/>
          <w:bCs/>
        </w:rPr>
      </w:pPr>
      <w:r w:rsidRPr="00255F41">
        <w:rPr>
          <w:b/>
          <w:bCs/>
        </w:rPr>
        <w:t xml:space="preserve">Enkels e.a., </w:t>
      </w:r>
      <w:r w:rsidRPr="00255F41">
        <w:rPr>
          <w:b/>
          <w:bCs/>
          <w:i/>
          <w:iCs/>
        </w:rPr>
        <w:t>Algemene voorwaarden</w:t>
      </w:r>
      <w:r w:rsidRPr="00255F41">
        <w:rPr>
          <w:b/>
          <w:bCs/>
        </w:rPr>
        <w:t xml:space="preserve"> 2012.</w:t>
      </w:r>
    </w:p>
    <w:p w14:paraId="0D26A4E8" w14:textId="5B5C7CDE" w:rsidR="005707E1" w:rsidRPr="00221BDC" w:rsidRDefault="00A65A2B" w:rsidP="00196BD8">
      <w:pPr>
        <w:spacing w:line="276" w:lineRule="auto"/>
        <w:jc w:val="both"/>
      </w:pPr>
      <w:r>
        <w:t>E. Enkels</w:t>
      </w:r>
      <w:r w:rsidR="005707E1" w:rsidRPr="005707E1">
        <w:t xml:space="preserve">, S. </w:t>
      </w:r>
      <w:r>
        <w:t>Van den Broeke</w:t>
      </w:r>
      <w:r w:rsidR="005707E1" w:rsidRPr="005707E1">
        <w:t xml:space="preserve"> en T</w:t>
      </w:r>
      <w:r>
        <w:t>.H</w:t>
      </w:r>
      <w:r w:rsidR="005707E1" w:rsidRPr="005707E1">
        <w:t>. D</w:t>
      </w:r>
      <w:r>
        <w:t>eclerck</w:t>
      </w:r>
      <w:r w:rsidR="005707E1">
        <w:t>,</w:t>
      </w:r>
      <w:r w:rsidR="005707E1" w:rsidRPr="005707E1">
        <w:t xml:space="preserve"> in</w:t>
      </w:r>
      <w:r w:rsidR="005707E1">
        <w:t>:</w:t>
      </w:r>
      <w:r w:rsidR="005707E1" w:rsidRPr="005707E1">
        <w:t xml:space="preserve"> J. </w:t>
      </w:r>
      <w:r>
        <w:t>Schraeyen</w:t>
      </w:r>
      <w:r w:rsidR="005707E1" w:rsidRPr="005707E1">
        <w:t xml:space="preserve"> (ed.), </w:t>
      </w:r>
      <w:r w:rsidR="005707E1" w:rsidRPr="005707E1">
        <w:rPr>
          <w:i/>
          <w:iCs/>
        </w:rPr>
        <w:t>Algemene voorwaarden</w:t>
      </w:r>
      <w:r w:rsidR="005707E1" w:rsidRPr="005707E1">
        <w:t xml:space="preserve">, </w:t>
      </w:r>
      <w:r>
        <w:t xml:space="preserve">Brussel: </w:t>
      </w:r>
      <w:r w:rsidR="005707E1" w:rsidRPr="005707E1">
        <w:t>Larcier</w:t>
      </w:r>
      <w:r>
        <w:t xml:space="preserve"> </w:t>
      </w:r>
      <w:r w:rsidR="005707E1" w:rsidRPr="005707E1">
        <w:t>2012</w:t>
      </w:r>
      <w:r w:rsidR="008D2FD1">
        <w:t>.</w:t>
      </w:r>
      <w:r w:rsidR="005707E1" w:rsidRPr="005707E1">
        <w:t xml:space="preserve"> </w:t>
      </w:r>
    </w:p>
    <w:p w14:paraId="7CDD74F9" w14:textId="7F56E92A" w:rsidR="00CD64D4" w:rsidRPr="00CD64D4" w:rsidRDefault="00CD64D4" w:rsidP="00196BD8">
      <w:pPr>
        <w:spacing w:after="0" w:line="276" w:lineRule="auto"/>
        <w:jc w:val="both"/>
        <w:rPr>
          <w:b/>
          <w:bCs/>
        </w:rPr>
      </w:pPr>
      <w:r w:rsidRPr="00CD64D4">
        <w:rPr>
          <w:b/>
          <w:bCs/>
        </w:rPr>
        <w:t xml:space="preserve">Lenaerts, </w:t>
      </w:r>
      <w:r w:rsidRPr="00CD64D4">
        <w:rPr>
          <w:b/>
          <w:bCs/>
          <w:i/>
          <w:iCs/>
        </w:rPr>
        <w:t>TBBR</w:t>
      </w:r>
      <w:r w:rsidRPr="00CD64D4">
        <w:rPr>
          <w:b/>
          <w:bCs/>
        </w:rPr>
        <w:t xml:space="preserve"> 2021.</w:t>
      </w:r>
    </w:p>
    <w:p w14:paraId="23E9990A" w14:textId="1E2BBF1A" w:rsidR="00F14433" w:rsidRPr="0008025C" w:rsidRDefault="00F14433" w:rsidP="00196BD8">
      <w:pPr>
        <w:spacing w:line="276" w:lineRule="auto"/>
        <w:jc w:val="both"/>
      </w:pPr>
      <w:r>
        <w:t xml:space="preserve">A. </w:t>
      </w:r>
      <w:r w:rsidR="0008025C">
        <w:t>Lenaerts</w:t>
      </w:r>
      <w:r w:rsidR="00ED4FD9">
        <w:t>, ‘Over de redelijke mogelijkheid tot kennisneming van algemene voorwaard</w:t>
      </w:r>
      <w:r w:rsidR="00C74E8E">
        <w:t>e in</w:t>
      </w:r>
      <w:r w:rsidR="00110A93">
        <w:t>:</w:t>
      </w:r>
      <w:r w:rsidR="00C74E8E">
        <w:t xml:space="preserve"> contracten met consumenten</w:t>
      </w:r>
      <w:r w:rsidR="00CD64D4">
        <w:t xml:space="preserve">: wat ingeval van ongebruikelijke buitensporige bedingen?’, </w:t>
      </w:r>
      <w:r w:rsidR="00CD64D4" w:rsidRPr="00A37296">
        <w:rPr>
          <w:i/>
          <w:iCs/>
        </w:rPr>
        <w:t>TBBR</w:t>
      </w:r>
      <w:r w:rsidR="00CD64D4">
        <w:t xml:space="preserve"> 2021. </w:t>
      </w:r>
    </w:p>
    <w:p w14:paraId="78E2905E" w14:textId="77777777" w:rsidR="00460998" w:rsidRPr="00926459" w:rsidRDefault="00460998" w:rsidP="00196BD8">
      <w:pPr>
        <w:spacing w:after="0" w:line="276" w:lineRule="auto"/>
        <w:jc w:val="both"/>
        <w:rPr>
          <w:b/>
          <w:bCs/>
          <w:color w:val="0D0D0D" w:themeColor="text1" w:themeTint="F2"/>
          <w:shd w:val="clear" w:color="auto" w:fill="FFFFFF"/>
        </w:rPr>
      </w:pPr>
      <w:r w:rsidRPr="00926459">
        <w:rPr>
          <w:b/>
          <w:bCs/>
          <w:color w:val="0D0D0D" w:themeColor="text1" w:themeTint="F2"/>
          <w:shd w:val="clear" w:color="auto" w:fill="FFFFFF"/>
        </w:rPr>
        <w:t>Weyts 2022.</w:t>
      </w:r>
    </w:p>
    <w:p w14:paraId="26C94E87" w14:textId="77777777" w:rsidR="00460998" w:rsidRDefault="00460998" w:rsidP="00196BD8">
      <w:pPr>
        <w:spacing w:line="276" w:lineRule="auto"/>
        <w:jc w:val="both"/>
        <w:rPr>
          <w:color w:val="0D0D0D" w:themeColor="text1" w:themeTint="F2"/>
          <w:shd w:val="clear" w:color="auto" w:fill="FFFFFF"/>
        </w:rPr>
      </w:pPr>
      <w:r w:rsidRPr="00C046C2">
        <w:rPr>
          <w:color w:val="0D0D0D" w:themeColor="text1" w:themeTint="F2"/>
          <w:shd w:val="clear" w:color="auto" w:fill="FFFFFF"/>
        </w:rPr>
        <w:t>B</w:t>
      </w:r>
      <w:r>
        <w:rPr>
          <w:color w:val="0D0D0D" w:themeColor="text1" w:themeTint="F2"/>
          <w:shd w:val="clear" w:color="auto" w:fill="FFFFFF"/>
        </w:rPr>
        <w:t>.</w:t>
      </w:r>
      <w:r w:rsidRPr="00C046C2">
        <w:rPr>
          <w:color w:val="0D0D0D" w:themeColor="text1" w:themeTint="F2"/>
          <w:shd w:val="clear" w:color="auto" w:fill="FFFFFF"/>
        </w:rPr>
        <w:t xml:space="preserve"> Weyts, </w:t>
      </w:r>
      <w:r w:rsidRPr="00BA4A13">
        <w:rPr>
          <w:i/>
          <w:iCs/>
          <w:color w:val="0D0D0D" w:themeColor="text1" w:themeTint="F2"/>
          <w:shd w:val="clear" w:color="auto" w:fill="FFFFFF"/>
        </w:rPr>
        <w:t>De totstandkoming van een overeenkomst. Huidig en nieuw recht van naderbij bekeken</w:t>
      </w:r>
      <w:r w:rsidRPr="00C046C2">
        <w:rPr>
          <w:color w:val="0D0D0D" w:themeColor="text1" w:themeTint="F2"/>
          <w:shd w:val="clear" w:color="auto" w:fill="FFFFFF"/>
        </w:rPr>
        <w:t xml:space="preserve">, Mechelen: Wolters Kluwer 2022. </w:t>
      </w:r>
    </w:p>
    <w:p w14:paraId="23B884CE" w14:textId="43203ED9" w:rsidR="008E5E6C" w:rsidRPr="00F14433" w:rsidRDefault="008E5E6C" w:rsidP="00196BD8">
      <w:pPr>
        <w:spacing w:after="0" w:line="276" w:lineRule="auto"/>
        <w:jc w:val="both"/>
        <w:rPr>
          <w:b/>
          <w:bCs/>
          <w:color w:val="0D0D0D" w:themeColor="text1" w:themeTint="F2"/>
          <w:shd w:val="clear" w:color="auto" w:fill="FFFFFF"/>
        </w:rPr>
      </w:pPr>
      <w:r w:rsidRPr="00F14433">
        <w:rPr>
          <w:b/>
          <w:bCs/>
          <w:color w:val="0D0D0D" w:themeColor="text1" w:themeTint="F2"/>
          <w:shd w:val="clear" w:color="auto" w:fill="FFFFFF"/>
        </w:rPr>
        <w:t>Wulf</w:t>
      </w:r>
      <w:r w:rsidR="00F14433" w:rsidRPr="00F14433">
        <w:rPr>
          <w:b/>
          <w:bCs/>
          <w:color w:val="0D0D0D" w:themeColor="text1" w:themeTint="F2"/>
          <w:shd w:val="clear" w:color="auto" w:fill="FFFFFF"/>
        </w:rPr>
        <w:t xml:space="preserve"> e.a.</w:t>
      </w:r>
      <w:r w:rsidR="00683DD5">
        <w:rPr>
          <w:b/>
          <w:bCs/>
          <w:color w:val="0D0D0D" w:themeColor="text1" w:themeTint="F2"/>
          <w:shd w:val="clear" w:color="auto" w:fill="FFFFFF"/>
        </w:rPr>
        <w:t>,</w:t>
      </w:r>
      <w:r w:rsidR="00F14433" w:rsidRPr="00F14433">
        <w:rPr>
          <w:b/>
          <w:bCs/>
          <w:color w:val="0D0D0D" w:themeColor="text1" w:themeTint="F2"/>
          <w:shd w:val="clear" w:color="auto" w:fill="FFFFFF"/>
        </w:rPr>
        <w:t xml:space="preserve"> </w:t>
      </w:r>
      <w:r w:rsidR="00F14433" w:rsidRPr="00F14433">
        <w:rPr>
          <w:b/>
          <w:bCs/>
          <w:i/>
          <w:iCs/>
          <w:color w:val="0D0D0D" w:themeColor="text1" w:themeTint="F2"/>
          <w:shd w:val="clear" w:color="auto" w:fill="FFFFFF"/>
        </w:rPr>
        <w:t>TPR</w:t>
      </w:r>
      <w:r w:rsidR="00F14433" w:rsidRPr="00F14433">
        <w:rPr>
          <w:b/>
          <w:bCs/>
          <w:color w:val="0D0D0D" w:themeColor="text1" w:themeTint="F2"/>
          <w:shd w:val="clear" w:color="auto" w:fill="FFFFFF"/>
        </w:rPr>
        <w:t xml:space="preserve"> 2011.</w:t>
      </w:r>
    </w:p>
    <w:p w14:paraId="1590C824" w14:textId="4D6C2162" w:rsidR="00B77B5D" w:rsidRPr="00C046C2" w:rsidRDefault="0032699F" w:rsidP="00196BD8">
      <w:pPr>
        <w:spacing w:line="276" w:lineRule="auto"/>
        <w:jc w:val="both"/>
        <w:rPr>
          <w:color w:val="0D0D0D" w:themeColor="text1" w:themeTint="F2"/>
          <w:shd w:val="clear" w:color="auto" w:fill="FFFFFF"/>
        </w:rPr>
      </w:pPr>
      <w:r>
        <w:rPr>
          <w:color w:val="0D0D0D" w:themeColor="text1" w:themeTint="F2"/>
          <w:shd w:val="clear" w:color="auto" w:fill="FFFFFF"/>
        </w:rPr>
        <w:t xml:space="preserve">H. de Wulf, </w:t>
      </w:r>
      <w:r w:rsidR="00836A4C">
        <w:rPr>
          <w:color w:val="0D0D0D" w:themeColor="text1" w:themeTint="F2"/>
          <w:shd w:val="clear" w:color="auto" w:fill="FFFFFF"/>
        </w:rPr>
        <w:t xml:space="preserve">E. Terryn en B. </w:t>
      </w:r>
      <w:r w:rsidR="00DB1FB2">
        <w:rPr>
          <w:color w:val="0D0D0D" w:themeColor="text1" w:themeTint="F2"/>
          <w:shd w:val="clear" w:color="auto" w:fill="FFFFFF"/>
        </w:rPr>
        <w:t xml:space="preserve">Keirsbilck, ‘Overzicht van rechtspraak: handelsrecht en handelspraktijken </w:t>
      </w:r>
      <w:r w:rsidR="008E5E6C">
        <w:rPr>
          <w:color w:val="0D0D0D" w:themeColor="text1" w:themeTint="F2"/>
          <w:shd w:val="clear" w:color="auto" w:fill="FFFFFF"/>
        </w:rPr>
        <w:t xml:space="preserve">2003-2010’, </w:t>
      </w:r>
      <w:r w:rsidR="008E5E6C" w:rsidRPr="008E5E6C">
        <w:rPr>
          <w:i/>
          <w:iCs/>
          <w:color w:val="0D0D0D" w:themeColor="text1" w:themeTint="F2"/>
          <w:shd w:val="clear" w:color="auto" w:fill="FFFFFF"/>
        </w:rPr>
        <w:t>TPR</w:t>
      </w:r>
      <w:r w:rsidR="008E5E6C">
        <w:rPr>
          <w:color w:val="0D0D0D" w:themeColor="text1" w:themeTint="F2"/>
          <w:shd w:val="clear" w:color="auto" w:fill="FFFFFF"/>
        </w:rPr>
        <w:t xml:space="preserve"> 2011.</w:t>
      </w:r>
    </w:p>
    <w:p w14:paraId="13D64592" w14:textId="77777777" w:rsidR="00460998" w:rsidRPr="0016103F" w:rsidRDefault="00460998" w:rsidP="00196BD8">
      <w:pPr>
        <w:spacing w:after="0" w:line="276" w:lineRule="auto"/>
        <w:jc w:val="both"/>
        <w:rPr>
          <w:b/>
          <w:bCs/>
          <w:color w:val="0D0D0D" w:themeColor="text1" w:themeTint="F2"/>
          <w:shd w:val="clear" w:color="auto" w:fill="FFFFFF"/>
        </w:rPr>
      </w:pPr>
      <w:r w:rsidRPr="0016103F">
        <w:rPr>
          <w:b/>
          <w:bCs/>
          <w:color w:val="0D0D0D" w:themeColor="text1" w:themeTint="F2"/>
          <w:shd w:val="clear" w:color="auto" w:fill="FFFFFF"/>
        </w:rPr>
        <w:t xml:space="preserve">Hermans, </w:t>
      </w:r>
      <w:r w:rsidRPr="0016103F">
        <w:rPr>
          <w:b/>
          <w:bCs/>
          <w:i/>
          <w:iCs/>
          <w:color w:val="0D0D0D" w:themeColor="text1" w:themeTint="F2"/>
          <w:shd w:val="clear" w:color="auto" w:fill="FFFFFF"/>
        </w:rPr>
        <w:t>DAOR</w:t>
      </w:r>
      <w:r w:rsidRPr="0016103F">
        <w:rPr>
          <w:b/>
          <w:bCs/>
          <w:color w:val="0D0D0D" w:themeColor="text1" w:themeTint="F2"/>
          <w:shd w:val="clear" w:color="auto" w:fill="FFFFFF"/>
        </w:rPr>
        <w:t xml:space="preserve"> 2018.</w:t>
      </w:r>
    </w:p>
    <w:p w14:paraId="4D83F78B" w14:textId="3EF1A979" w:rsidR="00695192" w:rsidRDefault="00460998" w:rsidP="00196BD8">
      <w:pPr>
        <w:spacing w:line="276" w:lineRule="auto"/>
        <w:jc w:val="both"/>
        <w:rPr>
          <w:rFonts w:cs="Calibri"/>
          <w:color w:val="0D0D0D" w:themeColor="text1" w:themeTint="F2"/>
          <w:shd w:val="clear" w:color="auto" w:fill="FFFFFF"/>
        </w:rPr>
      </w:pPr>
      <w:r>
        <w:rPr>
          <w:rFonts w:cs="Calibri"/>
          <w:color w:val="0D0D0D" w:themeColor="text1" w:themeTint="F2"/>
          <w:shd w:val="clear" w:color="auto" w:fill="FFFFFF"/>
        </w:rPr>
        <w:t>G. Hermans, ‘De toepasselijkheid van algemene voorwaarden bij online contracteren’</w:t>
      </w:r>
      <w:r w:rsidR="00B434EF">
        <w:rPr>
          <w:rFonts w:cs="Calibri"/>
          <w:color w:val="0D0D0D" w:themeColor="text1" w:themeTint="F2"/>
          <w:shd w:val="clear" w:color="auto" w:fill="FFFFFF"/>
        </w:rPr>
        <w:t xml:space="preserve">, </w:t>
      </w:r>
      <w:r w:rsidRPr="00731DE7">
        <w:rPr>
          <w:rFonts w:cs="Calibri"/>
          <w:i/>
          <w:iCs/>
          <w:color w:val="0D0D0D" w:themeColor="text1" w:themeTint="F2"/>
          <w:shd w:val="clear" w:color="auto" w:fill="FFFFFF"/>
        </w:rPr>
        <w:t>DAOR</w:t>
      </w:r>
      <w:r>
        <w:rPr>
          <w:rFonts w:cs="Calibri"/>
          <w:color w:val="0D0D0D" w:themeColor="text1" w:themeTint="F2"/>
          <w:shd w:val="clear" w:color="auto" w:fill="FFFFFF"/>
        </w:rPr>
        <w:t xml:space="preserve"> 2018</w:t>
      </w:r>
      <w:r w:rsidR="004E6CFE">
        <w:rPr>
          <w:rFonts w:cs="Calibri"/>
          <w:color w:val="0D0D0D" w:themeColor="text1" w:themeTint="F2"/>
          <w:shd w:val="clear" w:color="auto" w:fill="FFFFFF"/>
        </w:rPr>
        <w:t>/128.</w:t>
      </w:r>
    </w:p>
    <w:p w14:paraId="0C243742" w14:textId="5AFD93D5" w:rsidR="00695192" w:rsidRPr="00695192" w:rsidRDefault="00695192" w:rsidP="00196BD8">
      <w:pPr>
        <w:spacing w:after="0" w:line="276" w:lineRule="auto"/>
        <w:jc w:val="both"/>
        <w:rPr>
          <w:rFonts w:cs="Calibri"/>
          <w:b/>
          <w:bCs/>
          <w:color w:val="0D0D0D" w:themeColor="text1" w:themeTint="F2"/>
          <w:shd w:val="clear" w:color="auto" w:fill="FFFFFF"/>
        </w:rPr>
      </w:pPr>
      <w:r w:rsidRPr="00695192">
        <w:rPr>
          <w:rFonts w:cs="Calibri"/>
          <w:b/>
          <w:bCs/>
          <w:color w:val="0D0D0D" w:themeColor="text1" w:themeTint="F2"/>
          <w:shd w:val="clear" w:color="auto" w:fill="FFFFFF"/>
        </w:rPr>
        <w:t xml:space="preserve">Van Ransbeeck, </w:t>
      </w:r>
      <w:r w:rsidRPr="00695192">
        <w:rPr>
          <w:rFonts w:cs="Calibri"/>
          <w:b/>
          <w:bCs/>
          <w:i/>
          <w:iCs/>
          <w:color w:val="0D0D0D" w:themeColor="text1" w:themeTint="F2"/>
          <w:shd w:val="clear" w:color="auto" w:fill="FFFFFF"/>
        </w:rPr>
        <w:t>TBBR/RGDC</w:t>
      </w:r>
      <w:r w:rsidRPr="00695192">
        <w:rPr>
          <w:rFonts w:cs="Calibri"/>
          <w:b/>
          <w:bCs/>
          <w:color w:val="0D0D0D" w:themeColor="text1" w:themeTint="F2"/>
          <w:shd w:val="clear" w:color="auto" w:fill="FFFFFF"/>
        </w:rPr>
        <w:t xml:space="preserve"> 2013/7.</w:t>
      </w:r>
    </w:p>
    <w:p w14:paraId="17EEE9E1" w14:textId="5ABC7D6A" w:rsidR="004E2D43" w:rsidRDefault="004E2D43" w:rsidP="00196BD8">
      <w:pPr>
        <w:spacing w:line="276" w:lineRule="auto"/>
        <w:jc w:val="both"/>
        <w:rPr>
          <w:rFonts w:cs="Calibri"/>
          <w:color w:val="0D0D0D" w:themeColor="text1" w:themeTint="F2"/>
          <w:shd w:val="clear" w:color="auto" w:fill="FFFFFF"/>
        </w:rPr>
      </w:pPr>
      <w:r>
        <w:rPr>
          <w:rFonts w:cs="Calibri"/>
          <w:color w:val="0D0D0D" w:themeColor="text1" w:themeTint="F2"/>
          <w:shd w:val="clear" w:color="auto" w:fill="FFFFFF"/>
        </w:rPr>
        <w:t>R. Van Ransbeeck, ‘</w:t>
      </w:r>
      <w:r w:rsidR="00801C63">
        <w:rPr>
          <w:rFonts w:cs="Calibri"/>
          <w:color w:val="0D0D0D" w:themeColor="text1" w:themeTint="F2"/>
          <w:shd w:val="clear" w:color="auto" w:fill="FFFFFF"/>
        </w:rPr>
        <w:t xml:space="preserve">Privaatrechtelijke en Handelsrechtelijke beschouwingen inzake forumbedingen in factuurvoorwaarden naar Belgisch recht’, </w:t>
      </w:r>
      <w:r w:rsidR="00801C63" w:rsidRPr="00695192">
        <w:rPr>
          <w:rFonts w:cs="Calibri"/>
          <w:i/>
          <w:iCs/>
          <w:color w:val="0D0D0D" w:themeColor="text1" w:themeTint="F2"/>
          <w:shd w:val="clear" w:color="auto" w:fill="FFFFFF"/>
        </w:rPr>
        <w:t>TBBR/RGDC</w:t>
      </w:r>
      <w:r w:rsidR="00695192">
        <w:rPr>
          <w:rFonts w:cs="Calibri"/>
          <w:color w:val="0D0D0D" w:themeColor="text1" w:themeTint="F2"/>
          <w:shd w:val="clear" w:color="auto" w:fill="FFFFFF"/>
        </w:rPr>
        <w:t xml:space="preserve"> 2013/7.</w:t>
      </w:r>
    </w:p>
    <w:p w14:paraId="58976EAF" w14:textId="57552CC6" w:rsidR="00BB555A" w:rsidRPr="00854E3F" w:rsidRDefault="00F73A04" w:rsidP="00196BD8">
      <w:pPr>
        <w:spacing w:after="0" w:line="276" w:lineRule="auto"/>
        <w:jc w:val="both"/>
        <w:rPr>
          <w:rFonts w:cs="Calibri"/>
          <w:b/>
          <w:bCs/>
          <w:color w:val="0D0D0D" w:themeColor="text1" w:themeTint="F2"/>
          <w:shd w:val="clear" w:color="auto" w:fill="FFFFFF"/>
        </w:rPr>
      </w:pPr>
      <w:r w:rsidRPr="00854E3F">
        <w:rPr>
          <w:rFonts w:cs="Calibri"/>
          <w:b/>
          <w:bCs/>
          <w:color w:val="0D0D0D" w:themeColor="text1" w:themeTint="F2"/>
          <w:shd w:val="clear" w:color="auto" w:fill="FFFFFF"/>
        </w:rPr>
        <w:t>Sustronck</w:t>
      </w:r>
      <w:r w:rsidR="00854E3F" w:rsidRPr="00854E3F">
        <w:rPr>
          <w:rFonts w:cs="Calibri"/>
          <w:b/>
          <w:bCs/>
          <w:color w:val="0D0D0D" w:themeColor="text1" w:themeTint="F2"/>
          <w:shd w:val="clear" w:color="auto" w:fill="FFFFFF"/>
        </w:rPr>
        <w:t xml:space="preserve">, </w:t>
      </w:r>
      <w:r w:rsidR="00854E3F" w:rsidRPr="00854E3F">
        <w:rPr>
          <w:rFonts w:cs="Calibri"/>
          <w:b/>
          <w:bCs/>
          <w:i/>
          <w:iCs/>
          <w:color w:val="0D0D0D" w:themeColor="text1" w:themeTint="F2"/>
          <w:shd w:val="clear" w:color="auto" w:fill="FFFFFF"/>
        </w:rPr>
        <w:t>praktijkboek internetrecht</w:t>
      </w:r>
      <w:r w:rsidR="00854E3F" w:rsidRPr="00854E3F">
        <w:rPr>
          <w:rFonts w:cs="Calibri"/>
          <w:b/>
          <w:bCs/>
          <w:color w:val="0D0D0D" w:themeColor="text1" w:themeTint="F2"/>
          <w:shd w:val="clear" w:color="auto" w:fill="FFFFFF"/>
        </w:rPr>
        <w:t xml:space="preserve"> 2017.</w:t>
      </w:r>
    </w:p>
    <w:p w14:paraId="31DA3D94" w14:textId="3CA9B2ED" w:rsidR="00BB555A" w:rsidRDefault="0064495A" w:rsidP="00196BD8">
      <w:pPr>
        <w:spacing w:line="276" w:lineRule="auto"/>
        <w:jc w:val="both"/>
        <w:rPr>
          <w:rFonts w:cs="Calibri"/>
          <w:color w:val="0D0D0D" w:themeColor="text1" w:themeTint="F2"/>
          <w:shd w:val="clear" w:color="auto" w:fill="FFFFFF"/>
        </w:rPr>
      </w:pPr>
      <w:r w:rsidRPr="0064495A">
        <w:rPr>
          <w:rFonts w:cs="Calibri"/>
          <w:color w:val="0D0D0D" w:themeColor="text1" w:themeTint="F2"/>
          <w:shd w:val="clear" w:color="auto" w:fill="FFFFFF"/>
        </w:rPr>
        <w:t>P. Sustronck, ‘E-commerce: informatieverplichtin</w:t>
      </w:r>
      <w:r>
        <w:rPr>
          <w:rFonts w:cs="Calibri"/>
          <w:color w:val="0D0D0D" w:themeColor="text1" w:themeTint="F2"/>
          <w:shd w:val="clear" w:color="auto" w:fill="FFFFFF"/>
        </w:rPr>
        <w:t>gen en consumentenbescherming</w:t>
      </w:r>
      <w:r w:rsidR="00966F4D">
        <w:rPr>
          <w:rFonts w:cs="Calibri"/>
          <w:color w:val="0D0D0D" w:themeColor="text1" w:themeTint="F2"/>
          <w:shd w:val="clear" w:color="auto" w:fill="FFFFFF"/>
        </w:rPr>
        <w:t xml:space="preserve">’, in: </w:t>
      </w:r>
      <w:r w:rsidR="00C16EBA">
        <w:rPr>
          <w:rFonts w:cs="Calibri"/>
          <w:color w:val="0D0D0D" w:themeColor="text1" w:themeTint="F2"/>
          <w:shd w:val="clear" w:color="auto" w:fill="FFFFFF"/>
        </w:rPr>
        <w:t xml:space="preserve">O. Sustronck (ed.), </w:t>
      </w:r>
      <w:r w:rsidR="00C16EBA" w:rsidRPr="00854E3F">
        <w:rPr>
          <w:rFonts w:cs="Calibri"/>
          <w:i/>
          <w:iCs/>
          <w:color w:val="0D0D0D" w:themeColor="text1" w:themeTint="F2"/>
          <w:shd w:val="clear" w:color="auto" w:fill="FFFFFF"/>
        </w:rPr>
        <w:t>praktijkboek internetrecht</w:t>
      </w:r>
      <w:r w:rsidR="00B56E9C">
        <w:rPr>
          <w:rFonts w:cs="Calibri"/>
          <w:color w:val="0D0D0D" w:themeColor="text1" w:themeTint="F2"/>
          <w:shd w:val="clear" w:color="auto" w:fill="FFFFFF"/>
        </w:rPr>
        <w:t>, Mechelen: Wolters Kluwer</w:t>
      </w:r>
      <w:r w:rsidR="00F73A04">
        <w:rPr>
          <w:rFonts w:cs="Calibri"/>
          <w:color w:val="0D0D0D" w:themeColor="text1" w:themeTint="F2"/>
          <w:shd w:val="clear" w:color="auto" w:fill="FFFFFF"/>
        </w:rPr>
        <w:t xml:space="preserve"> 2017.</w:t>
      </w:r>
    </w:p>
    <w:p w14:paraId="7392CBF7" w14:textId="3E218F67" w:rsidR="008B5311" w:rsidRPr="00F64E12" w:rsidRDefault="0097330E" w:rsidP="00196BD8">
      <w:pPr>
        <w:spacing w:after="0" w:line="276" w:lineRule="auto"/>
        <w:jc w:val="both"/>
        <w:rPr>
          <w:rFonts w:cs="Calibri"/>
          <w:b/>
          <w:bCs/>
          <w:color w:val="0D0D0D" w:themeColor="text1" w:themeTint="F2"/>
          <w:shd w:val="clear" w:color="auto" w:fill="FFFFFF"/>
        </w:rPr>
      </w:pPr>
      <w:r w:rsidRPr="00F64E12">
        <w:rPr>
          <w:rFonts w:cs="Calibri"/>
          <w:b/>
          <w:bCs/>
          <w:color w:val="0D0D0D" w:themeColor="text1" w:themeTint="F2"/>
          <w:shd w:val="clear" w:color="auto" w:fill="FFFFFF"/>
        </w:rPr>
        <w:t xml:space="preserve">Swaenpoel, </w:t>
      </w:r>
      <w:r w:rsidRPr="00F64E12">
        <w:rPr>
          <w:rFonts w:cs="Calibri"/>
          <w:b/>
          <w:bCs/>
          <w:i/>
          <w:iCs/>
          <w:color w:val="0D0D0D" w:themeColor="text1" w:themeTint="F2"/>
          <w:shd w:val="clear" w:color="auto" w:fill="FFFFFF"/>
        </w:rPr>
        <w:t>X, Recht in beweging – Verslagboek 13de VRG-Alumnidag 2006</w:t>
      </w:r>
      <w:r w:rsidR="00F64E12" w:rsidRPr="00F64E12">
        <w:rPr>
          <w:rFonts w:cs="Calibri"/>
          <w:b/>
          <w:bCs/>
          <w:color w:val="0D0D0D" w:themeColor="text1" w:themeTint="F2"/>
          <w:shd w:val="clear" w:color="auto" w:fill="FFFFFF"/>
        </w:rPr>
        <w:t>, 2006.</w:t>
      </w:r>
    </w:p>
    <w:p w14:paraId="2D5739B4" w14:textId="246B4AAE" w:rsidR="00B77B5D" w:rsidRDefault="008B5311" w:rsidP="00196BD8">
      <w:pPr>
        <w:spacing w:line="276" w:lineRule="auto"/>
        <w:jc w:val="both"/>
        <w:rPr>
          <w:rFonts w:cs="Calibri"/>
          <w:color w:val="0D0D0D" w:themeColor="text1" w:themeTint="F2"/>
          <w:shd w:val="clear" w:color="auto" w:fill="FFFFFF"/>
        </w:rPr>
      </w:pPr>
      <w:r w:rsidRPr="008B5311">
        <w:rPr>
          <w:rFonts w:cs="Calibri"/>
          <w:color w:val="0D0D0D" w:themeColor="text1" w:themeTint="F2"/>
          <w:shd w:val="clear" w:color="auto" w:fill="FFFFFF"/>
        </w:rPr>
        <w:t>E. S</w:t>
      </w:r>
      <w:r w:rsidR="00F64E12">
        <w:rPr>
          <w:rFonts w:cs="Calibri"/>
          <w:color w:val="0D0D0D" w:themeColor="text1" w:themeTint="F2"/>
          <w:shd w:val="clear" w:color="auto" w:fill="FFFFFF"/>
        </w:rPr>
        <w:t>waenpoel</w:t>
      </w:r>
      <w:r w:rsidRPr="008B5311">
        <w:rPr>
          <w:rFonts w:cs="Calibri"/>
          <w:color w:val="0D0D0D" w:themeColor="text1" w:themeTint="F2"/>
          <w:shd w:val="clear" w:color="auto" w:fill="FFFFFF"/>
        </w:rPr>
        <w:t xml:space="preserve">, </w:t>
      </w:r>
      <w:r w:rsidR="0049035A">
        <w:rPr>
          <w:rFonts w:cs="Calibri"/>
          <w:color w:val="0D0D0D" w:themeColor="text1" w:themeTint="F2"/>
          <w:shd w:val="clear" w:color="auto" w:fill="FFFFFF"/>
        </w:rPr>
        <w:t>‘</w:t>
      </w:r>
      <w:r w:rsidRPr="008B5311">
        <w:rPr>
          <w:rFonts w:cs="Calibri"/>
          <w:color w:val="0D0D0D" w:themeColor="text1" w:themeTint="F2"/>
          <w:shd w:val="clear" w:color="auto" w:fill="FFFFFF"/>
        </w:rPr>
        <w:t>Recente ontwikkelingen van de leer der wilsgebreken, met aandacht voor toepassingen in koopcontracten</w:t>
      </w:r>
      <w:r w:rsidR="0049035A">
        <w:rPr>
          <w:rFonts w:cs="Calibri"/>
          <w:color w:val="0D0D0D" w:themeColor="text1" w:themeTint="F2"/>
          <w:shd w:val="clear" w:color="auto" w:fill="FFFFFF"/>
        </w:rPr>
        <w:t>’,</w:t>
      </w:r>
      <w:r w:rsidRPr="008B5311">
        <w:rPr>
          <w:rFonts w:cs="Calibri"/>
          <w:color w:val="0D0D0D" w:themeColor="text1" w:themeTint="F2"/>
          <w:shd w:val="clear" w:color="auto" w:fill="FFFFFF"/>
        </w:rPr>
        <w:t xml:space="preserve"> in</w:t>
      </w:r>
      <w:r w:rsidR="00110A93">
        <w:rPr>
          <w:rFonts w:cs="Calibri"/>
          <w:color w:val="0D0D0D" w:themeColor="text1" w:themeTint="F2"/>
          <w:shd w:val="clear" w:color="auto" w:fill="FFFFFF"/>
        </w:rPr>
        <w:t>:</w:t>
      </w:r>
      <w:r w:rsidRPr="008B5311">
        <w:rPr>
          <w:rFonts w:cs="Calibri"/>
          <w:color w:val="0D0D0D" w:themeColor="text1" w:themeTint="F2"/>
          <w:shd w:val="clear" w:color="auto" w:fill="FFFFFF"/>
        </w:rPr>
        <w:t xml:space="preserve"> </w:t>
      </w:r>
      <w:r w:rsidRPr="008B5311">
        <w:rPr>
          <w:rFonts w:cs="Calibri"/>
          <w:i/>
          <w:iCs/>
          <w:color w:val="0D0D0D" w:themeColor="text1" w:themeTint="F2"/>
          <w:shd w:val="clear" w:color="auto" w:fill="FFFFFF"/>
        </w:rPr>
        <w:t>X,</w:t>
      </w:r>
      <w:r w:rsidRPr="008B5311">
        <w:rPr>
          <w:rFonts w:cs="Calibri"/>
          <w:color w:val="0D0D0D" w:themeColor="text1" w:themeTint="F2"/>
          <w:shd w:val="clear" w:color="auto" w:fill="FFFFFF"/>
        </w:rPr>
        <w:t xml:space="preserve"> </w:t>
      </w:r>
      <w:r w:rsidRPr="008B5311">
        <w:rPr>
          <w:rFonts w:cs="Calibri"/>
          <w:i/>
          <w:iCs/>
          <w:color w:val="0D0D0D" w:themeColor="text1" w:themeTint="F2"/>
          <w:shd w:val="clear" w:color="auto" w:fill="FFFFFF"/>
        </w:rPr>
        <w:t>Recht in beweging – Verslagboek 13de VRG-Alumnidag 2006</w:t>
      </w:r>
      <w:r w:rsidRPr="008B5311">
        <w:rPr>
          <w:rFonts w:cs="Calibri"/>
          <w:color w:val="0D0D0D" w:themeColor="text1" w:themeTint="F2"/>
          <w:shd w:val="clear" w:color="auto" w:fill="FFFFFF"/>
        </w:rPr>
        <w:t>, Antwerpen</w:t>
      </w:r>
      <w:r w:rsidR="00131D4A">
        <w:rPr>
          <w:rFonts w:cs="Calibri"/>
          <w:color w:val="0D0D0D" w:themeColor="text1" w:themeTint="F2"/>
          <w:shd w:val="clear" w:color="auto" w:fill="FFFFFF"/>
        </w:rPr>
        <w:t>:</w:t>
      </w:r>
      <w:r w:rsidRPr="008B5311">
        <w:rPr>
          <w:rFonts w:cs="Calibri"/>
          <w:color w:val="0D0D0D" w:themeColor="text1" w:themeTint="F2"/>
          <w:shd w:val="clear" w:color="auto" w:fill="FFFFFF"/>
        </w:rPr>
        <w:t xml:space="preserve"> Maklu 2006</w:t>
      </w:r>
      <w:r>
        <w:rPr>
          <w:rFonts w:cs="Calibri"/>
          <w:color w:val="0D0D0D" w:themeColor="text1" w:themeTint="F2"/>
          <w:shd w:val="clear" w:color="auto" w:fill="FFFFFF"/>
        </w:rPr>
        <w:t>.</w:t>
      </w:r>
    </w:p>
    <w:p w14:paraId="044E4D60" w14:textId="1D4AF1F4" w:rsidR="007C55D5" w:rsidRPr="00BE686C" w:rsidRDefault="007C55D5" w:rsidP="00196BD8">
      <w:pPr>
        <w:spacing w:after="0" w:line="276" w:lineRule="auto"/>
        <w:jc w:val="both"/>
        <w:rPr>
          <w:rFonts w:cs="Calibri"/>
          <w:b/>
          <w:bCs/>
          <w:color w:val="0D0D0D" w:themeColor="text1" w:themeTint="F2"/>
          <w:shd w:val="clear" w:color="auto" w:fill="FFFFFF"/>
        </w:rPr>
      </w:pPr>
      <w:r w:rsidRPr="00BE686C">
        <w:rPr>
          <w:rFonts w:cs="Calibri"/>
          <w:b/>
          <w:bCs/>
          <w:color w:val="0D0D0D" w:themeColor="text1" w:themeTint="F2"/>
          <w:shd w:val="clear" w:color="auto" w:fill="FFFFFF"/>
        </w:rPr>
        <w:t xml:space="preserve">Terryn, </w:t>
      </w:r>
      <w:r w:rsidRPr="00BE686C">
        <w:rPr>
          <w:rFonts w:cs="Calibri"/>
          <w:b/>
          <w:bCs/>
          <w:i/>
          <w:iCs/>
          <w:color w:val="0D0D0D" w:themeColor="text1" w:themeTint="F2"/>
          <w:shd w:val="clear" w:color="auto" w:fill="FFFFFF"/>
        </w:rPr>
        <w:t>TPR</w:t>
      </w:r>
      <w:r w:rsidRPr="00BE686C">
        <w:rPr>
          <w:rFonts w:cs="Calibri"/>
          <w:b/>
          <w:bCs/>
          <w:color w:val="0D0D0D" w:themeColor="text1" w:themeTint="F2"/>
          <w:shd w:val="clear" w:color="auto" w:fill="FFFFFF"/>
        </w:rPr>
        <w:t xml:space="preserve"> 2017.</w:t>
      </w:r>
    </w:p>
    <w:p w14:paraId="4E9DFB90" w14:textId="21665743" w:rsidR="0063497D" w:rsidRDefault="0063497D" w:rsidP="00196BD8">
      <w:pPr>
        <w:spacing w:line="276" w:lineRule="auto"/>
        <w:jc w:val="both"/>
        <w:rPr>
          <w:rFonts w:cs="Calibri"/>
          <w:color w:val="0D0D0D" w:themeColor="text1" w:themeTint="F2"/>
          <w:shd w:val="clear" w:color="auto" w:fill="FFFFFF"/>
        </w:rPr>
      </w:pPr>
      <w:r>
        <w:rPr>
          <w:rFonts w:cs="Calibri"/>
          <w:color w:val="0D0D0D" w:themeColor="text1" w:themeTint="F2"/>
          <w:shd w:val="clear" w:color="auto" w:fill="FFFFFF"/>
        </w:rPr>
        <w:t>E. Terryn, ‘</w:t>
      </w:r>
      <w:r w:rsidR="001E382E">
        <w:rPr>
          <w:rFonts w:cs="Calibri"/>
          <w:color w:val="0D0D0D" w:themeColor="text1" w:themeTint="F2"/>
          <w:shd w:val="clear" w:color="auto" w:fill="FFFFFF"/>
        </w:rPr>
        <w:t>Transparantie en algemene voorwaarden – nood aan hervorming?’</w:t>
      </w:r>
      <w:r w:rsidR="00B851BB">
        <w:rPr>
          <w:rFonts w:cs="Calibri"/>
          <w:color w:val="0D0D0D" w:themeColor="text1" w:themeTint="F2"/>
          <w:shd w:val="clear" w:color="auto" w:fill="FFFFFF"/>
        </w:rPr>
        <w:t xml:space="preserve">, </w:t>
      </w:r>
      <w:r w:rsidR="00B851BB" w:rsidRPr="007C55D5">
        <w:rPr>
          <w:rFonts w:cs="Calibri"/>
          <w:i/>
          <w:iCs/>
          <w:color w:val="0D0D0D" w:themeColor="text1" w:themeTint="F2"/>
          <w:shd w:val="clear" w:color="auto" w:fill="FFFFFF"/>
        </w:rPr>
        <w:t>TPR</w:t>
      </w:r>
      <w:r w:rsidR="00B851BB">
        <w:rPr>
          <w:rFonts w:cs="Calibri"/>
          <w:color w:val="0D0D0D" w:themeColor="text1" w:themeTint="F2"/>
          <w:shd w:val="clear" w:color="auto" w:fill="FFFFFF"/>
        </w:rPr>
        <w:t xml:space="preserve"> 2017</w:t>
      </w:r>
      <w:r w:rsidR="007C55D5">
        <w:rPr>
          <w:rFonts w:cs="Calibri"/>
          <w:color w:val="0D0D0D" w:themeColor="text1" w:themeTint="F2"/>
          <w:shd w:val="clear" w:color="auto" w:fill="FFFFFF"/>
        </w:rPr>
        <w:t>.</w:t>
      </w:r>
    </w:p>
    <w:p w14:paraId="0A3A50B2" w14:textId="77777777" w:rsidR="00F862A8" w:rsidRDefault="00F862A8" w:rsidP="00196BD8">
      <w:pPr>
        <w:spacing w:after="0" w:line="276" w:lineRule="auto"/>
        <w:jc w:val="both"/>
        <w:rPr>
          <w:rFonts w:cs="Calibri"/>
          <w:b/>
          <w:bCs/>
          <w:color w:val="0D0D0D" w:themeColor="text1" w:themeTint="F2"/>
          <w:shd w:val="clear" w:color="auto" w:fill="FFFFFF"/>
        </w:rPr>
      </w:pPr>
    </w:p>
    <w:p w14:paraId="17FCC9C9" w14:textId="77777777" w:rsidR="00F862A8" w:rsidRDefault="00F862A8" w:rsidP="00196BD8">
      <w:pPr>
        <w:spacing w:after="0" w:line="276" w:lineRule="auto"/>
        <w:jc w:val="both"/>
        <w:rPr>
          <w:rFonts w:cs="Calibri"/>
          <w:b/>
          <w:bCs/>
          <w:color w:val="0D0D0D" w:themeColor="text1" w:themeTint="F2"/>
          <w:shd w:val="clear" w:color="auto" w:fill="FFFFFF"/>
        </w:rPr>
      </w:pPr>
    </w:p>
    <w:p w14:paraId="414BB9B9" w14:textId="77777777" w:rsidR="00F862A8" w:rsidRDefault="00F862A8" w:rsidP="00196BD8">
      <w:pPr>
        <w:spacing w:after="0" w:line="276" w:lineRule="auto"/>
        <w:jc w:val="both"/>
        <w:rPr>
          <w:rFonts w:cs="Calibri"/>
          <w:b/>
          <w:bCs/>
          <w:color w:val="0D0D0D" w:themeColor="text1" w:themeTint="F2"/>
          <w:shd w:val="clear" w:color="auto" w:fill="FFFFFF"/>
        </w:rPr>
      </w:pPr>
    </w:p>
    <w:p w14:paraId="3F4CD574" w14:textId="57D5D4A6" w:rsidR="007B64C5" w:rsidRPr="007B64C5" w:rsidRDefault="007B64C5" w:rsidP="00196BD8">
      <w:pPr>
        <w:spacing w:after="0" w:line="276" w:lineRule="auto"/>
        <w:jc w:val="both"/>
        <w:rPr>
          <w:rFonts w:cs="Calibri"/>
          <w:b/>
          <w:bCs/>
          <w:color w:val="0D0D0D" w:themeColor="text1" w:themeTint="F2"/>
          <w:shd w:val="clear" w:color="auto" w:fill="FFFFFF"/>
        </w:rPr>
      </w:pPr>
      <w:r w:rsidRPr="007B64C5">
        <w:rPr>
          <w:rFonts w:cs="Calibri"/>
          <w:b/>
          <w:bCs/>
          <w:color w:val="0D0D0D" w:themeColor="text1" w:themeTint="F2"/>
          <w:shd w:val="clear" w:color="auto" w:fill="FFFFFF"/>
        </w:rPr>
        <w:lastRenderedPageBreak/>
        <w:t xml:space="preserve">Vanderschot, </w:t>
      </w:r>
      <w:r w:rsidRPr="007B64C5">
        <w:rPr>
          <w:rFonts w:cs="Calibri"/>
          <w:b/>
          <w:bCs/>
          <w:i/>
          <w:iCs/>
          <w:color w:val="0D0D0D" w:themeColor="text1" w:themeTint="F2"/>
          <w:shd w:val="clear" w:color="auto" w:fill="FFFFFF"/>
        </w:rPr>
        <w:t>Contractuele clausules rond de (niet-)uitvoering en de beëindiging van contracten</w:t>
      </w:r>
      <w:r w:rsidRPr="007B64C5">
        <w:rPr>
          <w:rFonts w:cs="Calibri"/>
          <w:b/>
          <w:bCs/>
          <w:color w:val="0D0D0D" w:themeColor="text1" w:themeTint="F2"/>
          <w:shd w:val="clear" w:color="auto" w:fill="FFFFFF"/>
        </w:rPr>
        <w:t xml:space="preserve"> 2006.</w:t>
      </w:r>
    </w:p>
    <w:p w14:paraId="3D362B9E" w14:textId="2A18B7EE" w:rsidR="00BE686C" w:rsidRDefault="004965CE" w:rsidP="00196BD8">
      <w:pPr>
        <w:spacing w:line="276" w:lineRule="auto"/>
        <w:jc w:val="both"/>
        <w:rPr>
          <w:rFonts w:cs="Calibri"/>
          <w:color w:val="0D0D0D" w:themeColor="text1" w:themeTint="F2"/>
          <w:shd w:val="clear" w:color="auto" w:fill="FFFFFF"/>
        </w:rPr>
      </w:pPr>
      <w:r>
        <w:rPr>
          <w:rFonts w:cs="Calibri"/>
          <w:color w:val="0D0D0D" w:themeColor="text1" w:themeTint="F2"/>
          <w:shd w:val="clear" w:color="auto" w:fill="FFFFFF"/>
        </w:rPr>
        <w:t>K. V</w:t>
      </w:r>
      <w:r w:rsidR="00E1614D">
        <w:rPr>
          <w:rFonts w:cs="Calibri"/>
          <w:color w:val="0D0D0D" w:themeColor="text1" w:themeTint="F2"/>
          <w:shd w:val="clear" w:color="auto" w:fill="FFFFFF"/>
        </w:rPr>
        <w:t>anderschot, ‘Kennisname- en aanvaardingsclausules’</w:t>
      </w:r>
      <w:r w:rsidR="00543440">
        <w:rPr>
          <w:rFonts w:cs="Calibri"/>
          <w:color w:val="0D0D0D" w:themeColor="text1" w:themeTint="F2"/>
          <w:shd w:val="clear" w:color="auto" w:fill="FFFFFF"/>
        </w:rPr>
        <w:t>,</w:t>
      </w:r>
      <w:r w:rsidR="00E1614D">
        <w:rPr>
          <w:rFonts w:cs="Calibri"/>
          <w:color w:val="0D0D0D" w:themeColor="text1" w:themeTint="F2"/>
          <w:shd w:val="clear" w:color="auto" w:fill="FFFFFF"/>
        </w:rPr>
        <w:t xml:space="preserve"> in</w:t>
      </w:r>
      <w:r w:rsidR="007D79AA">
        <w:rPr>
          <w:rFonts w:cs="Calibri"/>
          <w:color w:val="0D0D0D" w:themeColor="text1" w:themeTint="F2"/>
          <w:shd w:val="clear" w:color="auto" w:fill="FFFFFF"/>
        </w:rPr>
        <w:t>: S. St</w:t>
      </w:r>
      <w:r w:rsidR="00022DF1">
        <w:rPr>
          <w:rFonts w:cs="Calibri"/>
          <w:color w:val="0D0D0D" w:themeColor="text1" w:themeTint="F2"/>
          <w:shd w:val="clear" w:color="auto" w:fill="FFFFFF"/>
        </w:rPr>
        <w:t xml:space="preserve">ijns en K. Vanderschot, </w:t>
      </w:r>
      <w:r w:rsidR="007B64C5" w:rsidRPr="007B64C5">
        <w:rPr>
          <w:rFonts w:cs="Calibri"/>
          <w:i/>
          <w:iCs/>
          <w:color w:val="0D0D0D" w:themeColor="text1" w:themeTint="F2"/>
          <w:shd w:val="clear" w:color="auto" w:fill="FFFFFF"/>
        </w:rPr>
        <w:t>C</w:t>
      </w:r>
      <w:r w:rsidR="00022DF1" w:rsidRPr="007B64C5">
        <w:rPr>
          <w:rFonts w:cs="Calibri"/>
          <w:i/>
          <w:iCs/>
          <w:color w:val="0D0D0D" w:themeColor="text1" w:themeTint="F2"/>
          <w:shd w:val="clear" w:color="auto" w:fill="FFFFFF"/>
        </w:rPr>
        <w:t>ontractuele clausules rond de (niet-)uitvoering en de beëindiging van contracten</w:t>
      </w:r>
      <w:r w:rsidR="00022DF1">
        <w:rPr>
          <w:rFonts w:cs="Calibri"/>
          <w:color w:val="0D0D0D" w:themeColor="text1" w:themeTint="F2"/>
          <w:shd w:val="clear" w:color="auto" w:fill="FFFFFF"/>
        </w:rPr>
        <w:t xml:space="preserve">, </w:t>
      </w:r>
      <w:r w:rsidR="007B64C5">
        <w:rPr>
          <w:rFonts w:cs="Calibri"/>
          <w:color w:val="0D0D0D" w:themeColor="text1" w:themeTint="F2"/>
          <w:shd w:val="clear" w:color="auto" w:fill="FFFFFF"/>
        </w:rPr>
        <w:t xml:space="preserve">Antwerpen: Intersentia 2006. </w:t>
      </w:r>
    </w:p>
    <w:p w14:paraId="0013769D" w14:textId="7339FA43" w:rsidR="005B29DA" w:rsidRPr="001A3D4E" w:rsidRDefault="005B29DA" w:rsidP="00196BD8">
      <w:pPr>
        <w:spacing w:after="0" w:line="276" w:lineRule="auto"/>
        <w:jc w:val="both"/>
        <w:rPr>
          <w:rFonts w:cs="Calibri"/>
          <w:b/>
          <w:bCs/>
          <w:color w:val="0D0D0D" w:themeColor="text1" w:themeTint="F2"/>
          <w:shd w:val="clear" w:color="auto" w:fill="FFFFFF"/>
        </w:rPr>
      </w:pPr>
      <w:r w:rsidRPr="001A3D4E">
        <w:rPr>
          <w:rFonts w:cs="Calibri"/>
          <w:b/>
          <w:bCs/>
          <w:color w:val="0D0D0D" w:themeColor="text1" w:themeTint="F2"/>
          <w:shd w:val="clear" w:color="auto" w:fill="FFFFFF"/>
        </w:rPr>
        <w:t>De Vulder &amp; Rombouts</w:t>
      </w:r>
      <w:r w:rsidR="00CC29E1" w:rsidRPr="001A3D4E">
        <w:rPr>
          <w:rFonts w:cs="Calibri"/>
          <w:b/>
          <w:bCs/>
          <w:color w:val="0D0D0D" w:themeColor="text1" w:themeTint="F2"/>
          <w:shd w:val="clear" w:color="auto" w:fill="FFFFFF"/>
        </w:rPr>
        <w:t xml:space="preserve">, </w:t>
      </w:r>
      <w:r w:rsidR="00CC29E1" w:rsidRPr="001A3D4E">
        <w:rPr>
          <w:rFonts w:cs="Calibri"/>
          <w:b/>
          <w:bCs/>
          <w:i/>
          <w:iCs/>
          <w:color w:val="0D0D0D" w:themeColor="text1" w:themeTint="F2"/>
          <w:shd w:val="clear" w:color="auto" w:fill="FFFFFF"/>
        </w:rPr>
        <w:t>Algemene voorwaarden</w:t>
      </w:r>
      <w:r w:rsidR="00CC29E1" w:rsidRPr="001A3D4E">
        <w:rPr>
          <w:rFonts w:cs="Calibri"/>
          <w:b/>
          <w:bCs/>
          <w:color w:val="0D0D0D" w:themeColor="text1" w:themeTint="F2"/>
          <w:shd w:val="clear" w:color="auto" w:fill="FFFFFF"/>
        </w:rPr>
        <w:t xml:space="preserve"> 2006.</w:t>
      </w:r>
    </w:p>
    <w:p w14:paraId="74A34CE0" w14:textId="424C7EE5" w:rsidR="00836D21" w:rsidRDefault="00836D21" w:rsidP="00196BD8">
      <w:pPr>
        <w:spacing w:line="276" w:lineRule="auto"/>
        <w:jc w:val="both"/>
        <w:rPr>
          <w:rFonts w:cs="Calibri"/>
          <w:color w:val="0D0D0D" w:themeColor="text1" w:themeTint="F2"/>
          <w:shd w:val="clear" w:color="auto" w:fill="FFFFFF"/>
        </w:rPr>
      </w:pPr>
      <w:r>
        <w:rPr>
          <w:rFonts w:cs="Calibri"/>
          <w:color w:val="0D0D0D" w:themeColor="text1" w:themeTint="F2"/>
          <w:shd w:val="clear" w:color="auto" w:fill="FFFFFF"/>
        </w:rPr>
        <w:t>K</w:t>
      </w:r>
      <w:r w:rsidR="002C631A">
        <w:rPr>
          <w:rFonts w:cs="Calibri"/>
          <w:color w:val="0D0D0D" w:themeColor="text1" w:themeTint="F2"/>
          <w:shd w:val="clear" w:color="auto" w:fill="FFFFFF"/>
        </w:rPr>
        <w:t>.</w:t>
      </w:r>
      <w:r>
        <w:rPr>
          <w:rFonts w:cs="Calibri"/>
          <w:color w:val="0D0D0D" w:themeColor="text1" w:themeTint="F2"/>
          <w:shd w:val="clear" w:color="auto" w:fill="FFFFFF"/>
        </w:rPr>
        <w:t xml:space="preserve"> de </w:t>
      </w:r>
      <w:r w:rsidR="002C631A">
        <w:rPr>
          <w:rFonts w:cs="Calibri"/>
          <w:color w:val="0D0D0D" w:themeColor="text1" w:themeTint="F2"/>
          <w:shd w:val="clear" w:color="auto" w:fill="FFFFFF"/>
        </w:rPr>
        <w:t xml:space="preserve">Vulder &amp; D. Rombouts, </w:t>
      </w:r>
      <w:r w:rsidR="009D566F">
        <w:rPr>
          <w:rFonts w:cs="Calibri"/>
          <w:color w:val="0D0D0D" w:themeColor="text1" w:themeTint="F2"/>
          <w:shd w:val="clear" w:color="auto" w:fill="FFFFFF"/>
        </w:rPr>
        <w:t xml:space="preserve">‘De elektronische </w:t>
      </w:r>
      <w:r w:rsidR="00746DB3">
        <w:rPr>
          <w:rFonts w:cs="Calibri"/>
          <w:color w:val="0D0D0D" w:themeColor="text1" w:themeTint="F2"/>
          <w:shd w:val="clear" w:color="auto" w:fill="FFFFFF"/>
        </w:rPr>
        <w:t xml:space="preserve">algemene </w:t>
      </w:r>
      <w:r w:rsidR="009D566F">
        <w:rPr>
          <w:rFonts w:cs="Calibri"/>
          <w:color w:val="0D0D0D" w:themeColor="text1" w:themeTint="F2"/>
          <w:shd w:val="clear" w:color="auto" w:fill="FFFFFF"/>
        </w:rPr>
        <w:t>voorwaarden en</w:t>
      </w:r>
      <w:r w:rsidR="00746DB3">
        <w:rPr>
          <w:rFonts w:cs="Calibri"/>
          <w:color w:val="0D0D0D" w:themeColor="text1" w:themeTint="F2"/>
          <w:shd w:val="clear" w:color="auto" w:fill="FFFFFF"/>
        </w:rPr>
        <w:t xml:space="preserve"> hun tegenstelbaarheid</w:t>
      </w:r>
      <w:r w:rsidR="00346744">
        <w:rPr>
          <w:rFonts w:cs="Calibri"/>
          <w:color w:val="0D0D0D" w:themeColor="text1" w:themeTint="F2"/>
          <w:shd w:val="clear" w:color="auto" w:fill="FFFFFF"/>
        </w:rPr>
        <w:t>’</w:t>
      </w:r>
      <w:r w:rsidR="00A66683">
        <w:rPr>
          <w:rFonts w:cs="Calibri"/>
          <w:color w:val="0D0D0D" w:themeColor="text1" w:themeTint="F2"/>
          <w:shd w:val="clear" w:color="auto" w:fill="FFFFFF"/>
        </w:rPr>
        <w:t xml:space="preserve">, in: </w:t>
      </w:r>
      <w:r w:rsidR="00F014BA" w:rsidRPr="00F014BA">
        <w:rPr>
          <w:rFonts w:cs="Calibri"/>
          <w:color w:val="0D0D0D" w:themeColor="text1" w:themeTint="F2"/>
          <w:shd w:val="clear" w:color="auto" w:fill="FFFFFF"/>
        </w:rPr>
        <w:t>S. Onega (ed.),</w:t>
      </w:r>
      <w:r w:rsidR="00F014BA">
        <w:rPr>
          <w:rFonts w:cs="Calibri"/>
          <w:i/>
          <w:iCs/>
          <w:color w:val="0D0D0D" w:themeColor="text1" w:themeTint="F2"/>
          <w:shd w:val="clear" w:color="auto" w:fill="FFFFFF"/>
        </w:rPr>
        <w:t xml:space="preserve"> </w:t>
      </w:r>
      <w:r w:rsidR="00A66683" w:rsidRPr="001A3D4E">
        <w:rPr>
          <w:rFonts w:cs="Calibri"/>
          <w:i/>
          <w:iCs/>
          <w:color w:val="0D0D0D" w:themeColor="text1" w:themeTint="F2"/>
          <w:shd w:val="clear" w:color="auto" w:fill="FFFFFF"/>
        </w:rPr>
        <w:t>Algemene voorwaarden</w:t>
      </w:r>
      <w:r w:rsidR="00A66683">
        <w:rPr>
          <w:rFonts w:cs="Calibri"/>
          <w:color w:val="0D0D0D" w:themeColor="text1" w:themeTint="F2"/>
          <w:shd w:val="clear" w:color="auto" w:fill="FFFFFF"/>
        </w:rPr>
        <w:t xml:space="preserve">, </w:t>
      </w:r>
      <w:r w:rsidR="005E0676">
        <w:rPr>
          <w:rFonts w:cs="Calibri"/>
          <w:color w:val="0D0D0D" w:themeColor="text1" w:themeTint="F2"/>
          <w:shd w:val="clear" w:color="auto" w:fill="FFFFFF"/>
        </w:rPr>
        <w:t>Mechelen: Wolters Kluwer 2006.</w:t>
      </w:r>
    </w:p>
    <w:p w14:paraId="611B1CE2" w14:textId="5D251E73" w:rsidR="00460998" w:rsidRDefault="007D22CD" w:rsidP="00196BD8">
      <w:pPr>
        <w:pStyle w:val="Kop2"/>
        <w:spacing w:line="276" w:lineRule="auto"/>
        <w:jc w:val="both"/>
      </w:pPr>
      <w:bookmarkStart w:id="82" w:name="_Toc182382103"/>
      <w:bookmarkStart w:id="83" w:name="_Toc186375540"/>
      <w:r>
        <w:t>Hof van Cassatie</w:t>
      </w:r>
      <w:bookmarkEnd w:id="82"/>
      <w:bookmarkEnd w:id="83"/>
      <w:r>
        <w:t xml:space="preserve"> </w:t>
      </w:r>
    </w:p>
    <w:p w14:paraId="4B3598F2" w14:textId="6C3BBF31" w:rsidR="00252D7C" w:rsidRDefault="00695CB8" w:rsidP="00196BD8">
      <w:pPr>
        <w:spacing w:line="276" w:lineRule="auto"/>
        <w:jc w:val="both"/>
      </w:pPr>
      <w:r>
        <w:t xml:space="preserve">Hof van Cassatie 11 december 1970, </w:t>
      </w:r>
      <w:r w:rsidRPr="00695CB8">
        <w:rPr>
          <w:i/>
          <w:iCs/>
        </w:rPr>
        <w:t>Arr.Cass</w:t>
      </w:r>
      <w:r>
        <w:t>. 1971, 369.</w:t>
      </w:r>
    </w:p>
    <w:p w14:paraId="7F557D9B" w14:textId="073813A7" w:rsidR="00BD25B6" w:rsidRDefault="00BD25B6" w:rsidP="00196BD8">
      <w:pPr>
        <w:spacing w:line="276" w:lineRule="auto"/>
        <w:jc w:val="both"/>
      </w:pPr>
      <w:r>
        <w:t xml:space="preserve">Hof van Cassatie 19 december 2011, </w:t>
      </w:r>
      <w:r w:rsidRPr="00695CB8">
        <w:rPr>
          <w:i/>
          <w:iCs/>
        </w:rPr>
        <w:t>Arr.Cass</w:t>
      </w:r>
      <w:r>
        <w:t>. 2011-12, 2664.</w:t>
      </w:r>
    </w:p>
    <w:p w14:paraId="5002A866" w14:textId="3F34003B" w:rsidR="0047603F" w:rsidRPr="00252D7C" w:rsidRDefault="0047603F" w:rsidP="00196BD8">
      <w:pPr>
        <w:spacing w:line="276" w:lineRule="auto"/>
        <w:jc w:val="both"/>
      </w:pPr>
      <w:r>
        <w:t xml:space="preserve">Hof van Cassatie 16 september 2016, </w:t>
      </w:r>
      <w:r w:rsidRPr="00BD25B6">
        <w:rPr>
          <w:i/>
          <w:iCs/>
        </w:rPr>
        <w:t>TBBR</w:t>
      </w:r>
      <w:r>
        <w:t xml:space="preserve"> </w:t>
      </w:r>
      <w:r w:rsidR="00707F4B">
        <w:t xml:space="preserve">2018/3, 154. </w:t>
      </w:r>
    </w:p>
    <w:p w14:paraId="3A4C1A4C" w14:textId="1813D879" w:rsidR="00635406" w:rsidRPr="00460998" w:rsidRDefault="00F34E99" w:rsidP="00196BD8">
      <w:pPr>
        <w:tabs>
          <w:tab w:val="left" w:pos="7872"/>
        </w:tabs>
        <w:spacing w:line="276" w:lineRule="auto"/>
        <w:jc w:val="both"/>
      </w:pPr>
      <w:r w:rsidRPr="00F34E99">
        <w:t>Hof van Cassatie 20 april 2017, nr. C.16 0341.F</w:t>
      </w:r>
      <w:r w:rsidR="00635406">
        <w:tab/>
      </w:r>
    </w:p>
    <w:p w14:paraId="55C401F9" w14:textId="001A0E79" w:rsidR="00C130C2" w:rsidRPr="001C7113" w:rsidRDefault="001C7113" w:rsidP="00196BD8">
      <w:pPr>
        <w:spacing w:line="276" w:lineRule="auto"/>
        <w:jc w:val="both"/>
      </w:pPr>
      <w:r w:rsidRPr="001C7113">
        <w:t xml:space="preserve">Hof van Cassatie </w:t>
      </w:r>
      <w:r w:rsidR="00C130C2" w:rsidRPr="001C7113">
        <w:t xml:space="preserve">14 mei 2021, </w:t>
      </w:r>
      <w:r w:rsidR="00252D7C">
        <w:t xml:space="preserve">nr. </w:t>
      </w:r>
      <w:r w:rsidR="00C130C2" w:rsidRPr="001C7113">
        <w:t>C. 20.0506.N/1.</w:t>
      </w:r>
    </w:p>
    <w:p w14:paraId="2950C025" w14:textId="4906DCED" w:rsidR="006C5E06" w:rsidRDefault="001C7113" w:rsidP="00196BD8">
      <w:pPr>
        <w:spacing w:line="276" w:lineRule="auto"/>
        <w:jc w:val="both"/>
      </w:pPr>
      <w:r>
        <w:t xml:space="preserve">Hof van Cassatie 18 juni 2021, </w:t>
      </w:r>
      <w:r w:rsidRPr="00BD25B6">
        <w:rPr>
          <w:i/>
          <w:iCs/>
        </w:rPr>
        <w:t>TBBR</w:t>
      </w:r>
      <w:r>
        <w:t xml:space="preserve"> 2021, 532.</w:t>
      </w:r>
    </w:p>
    <w:p w14:paraId="10C434B6" w14:textId="7695533C" w:rsidR="006C5E06" w:rsidRDefault="006C5E06" w:rsidP="00196BD8">
      <w:pPr>
        <w:pStyle w:val="Kop2"/>
        <w:spacing w:line="276" w:lineRule="auto"/>
        <w:jc w:val="both"/>
      </w:pPr>
      <w:bookmarkStart w:id="84" w:name="_Toc182382104"/>
      <w:bookmarkStart w:id="85" w:name="_Toc186375541"/>
      <w:r>
        <w:t>Rechtbanken</w:t>
      </w:r>
      <w:bookmarkEnd w:id="84"/>
      <w:bookmarkEnd w:id="85"/>
    </w:p>
    <w:p w14:paraId="43343FCE" w14:textId="02B18400" w:rsidR="00A271DF" w:rsidRDefault="00A271DF" w:rsidP="00196BD8">
      <w:pPr>
        <w:spacing w:line="276" w:lineRule="auto"/>
        <w:jc w:val="both"/>
      </w:pPr>
      <w:r>
        <w:t xml:space="preserve">Antwerpen 18 januari 1994, </w:t>
      </w:r>
      <w:r w:rsidRPr="001E0FFB">
        <w:rPr>
          <w:i/>
          <w:iCs/>
        </w:rPr>
        <w:t>Limb.Rechtsl</w:t>
      </w:r>
      <w:r>
        <w:t>. 1994, 122</w:t>
      </w:r>
      <w:r w:rsidR="005734F3">
        <w:t>.</w:t>
      </w:r>
    </w:p>
    <w:p w14:paraId="0C5E7DEF" w14:textId="2011EAC1" w:rsidR="0002782F" w:rsidRDefault="0002782F" w:rsidP="00196BD8">
      <w:pPr>
        <w:spacing w:line="276" w:lineRule="auto"/>
        <w:jc w:val="both"/>
      </w:pPr>
      <w:r>
        <w:t xml:space="preserve">Kh. Brussel 11 april 2000, </w:t>
      </w:r>
      <w:r w:rsidRPr="001E0FFB">
        <w:rPr>
          <w:i/>
          <w:iCs/>
        </w:rPr>
        <w:t>RW</w:t>
      </w:r>
      <w:r>
        <w:t xml:space="preserve"> 2003-04, 71.</w:t>
      </w:r>
    </w:p>
    <w:p w14:paraId="0AE6906B" w14:textId="45F5C9D2" w:rsidR="005734F3" w:rsidRDefault="005734F3" w:rsidP="00196BD8">
      <w:pPr>
        <w:spacing w:line="276" w:lineRule="auto"/>
        <w:jc w:val="both"/>
      </w:pPr>
      <w:r>
        <w:t xml:space="preserve">Rb. Brugge 15 januari 2001, </w:t>
      </w:r>
      <w:r w:rsidRPr="001E0FFB">
        <w:rPr>
          <w:i/>
          <w:iCs/>
        </w:rPr>
        <w:t>RW</w:t>
      </w:r>
      <w:r>
        <w:t xml:space="preserve"> 2003-04, 591.</w:t>
      </w:r>
    </w:p>
    <w:p w14:paraId="3C3E1D41" w14:textId="60F1861C" w:rsidR="007D620F" w:rsidRDefault="007D620F" w:rsidP="00196BD8">
      <w:pPr>
        <w:spacing w:line="276" w:lineRule="auto"/>
        <w:jc w:val="both"/>
      </w:pPr>
      <w:r>
        <w:t xml:space="preserve">Brussel 6 november 2003, </w:t>
      </w:r>
      <w:r w:rsidRPr="001E0FFB">
        <w:rPr>
          <w:i/>
          <w:iCs/>
        </w:rPr>
        <w:t>JLMB</w:t>
      </w:r>
      <w:r>
        <w:t xml:space="preserve"> 2004, 1491 (Samenvatting).</w:t>
      </w:r>
    </w:p>
    <w:p w14:paraId="341F49E6" w14:textId="536FA469" w:rsidR="00C204F6" w:rsidRDefault="00C204F6" w:rsidP="00196BD8">
      <w:pPr>
        <w:spacing w:line="276" w:lineRule="auto"/>
        <w:jc w:val="both"/>
      </w:pPr>
      <w:r>
        <w:t>Kh. Hasselt (4</w:t>
      </w:r>
      <w:r w:rsidRPr="003B076D">
        <w:rPr>
          <w:vertAlign w:val="superscript"/>
        </w:rPr>
        <w:t>e</w:t>
      </w:r>
      <w:r>
        <w:t xml:space="preserve"> k.) 8 mei 2007, </w:t>
      </w:r>
      <w:r w:rsidRPr="001E0FFB">
        <w:rPr>
          <w:i/>
          <w:iCs/>
        </w:rPr>
        <w:t>RW</w:t>
      </w:r>
      <w:r>
        <w:t xml:space="preserve"> 2007 nr.25. </w:t>
      </w:r>
    </w:p>
    <w:p w14:paraId="006CC7CA" w14:textId="14A3D361" w:rsidR="007D620F" w:rsidRDefault="007D620F" w:rsidP="00196BD8">
      <w:pPr>
        <w:spacing w:line="276" w:lineRule="auto"/>
        <w:jc w:val="both"/>
      </w:pPr>
      <w:r w:rsidRPr="003D04CD">
        <w:t xml:space="preserve">Rb Gent 13 oktober 2013, </w:t>
      </w:r>
      <w:r w:rsidRPr="003B48EC">
        <w:rPr>
          <w:i/>
          <w:iCs/>
        </w:rPr>
        <w:t>NJW</w:t>
      </w:r>
      <w:r w:rsidRPr="003D04CD">
        <w:t xml:space="preserve"> 2004, afl.</w:t>
      </w:r>
      <w:r>
        <w:t>63, 313</w:t>
      </w:r>
    </w:p>
    <w:p w14:paraId="1247C25B" w14:textId="2A9AEADD" w:rsidR="007D620F" w:rsidRDefault="007D620F" w:rsidP="00196BD8">
      <w:pPr>
        <w:spacing w:line="276" w:lineRule="auto"/>
        <w:jc w:val="both"/>
      </w:pPr>
      <w:r>
        <w:t xml:space="preserve">Rb Antwerpen 13 januari 2004, </w:t>
      </w:r>
      <w:r w:rsidRPr="003B48EC">
        <w:rPr>
          <w:i/>
          <w:iCs/>
        </w:rPr>
        <w:t>RW</w:t>
      </w:r>
      <w:r>
        <w:t xml:space="preserve"> 2005-06, 1187</w:t>
      </w:r>
    </w:p>
    <w:p w14:paraId="5480FF2A" w14:textId="73C9D44F" w:rsidR="00D971FE" w:rsidRDefault="00D971FE" w:rsidP="00196BD8">
      <w:pPr>
        <w:spacing w:line="276" w:lineRule="auto"/>
        <w:jc w:val="both"/>
      </w:pPr>
      <w:r>
        <w:t xml:space="preserve">Brussel 3 oktober 2006, </w:t>
      </w:r>
      <w:r w:rsidRPr="003B48EC">
        <w:rPr>
          <w:i/>
          <w:iCs/>
        </w:rPr>
        <w:t>DAOR</w:t>
      </w:r>
      <w:r>
        <w:t xml:space="preserve"> 2007, afl. 82, 227.</w:t>
      </w:r>
    </w:p>
    <w:p w14:paraId="62F13BC4" w14:textId="5B8ECA0F" w:rsidR="00C310DD" w:rsidRDefault="00C310DD" w:rsidP="00196BD8">
      <w:pPr>
        <w:spacing w:line="276" w:lineRule="auto"/>
        <w:jc w:val="both"/>
      </w:pPr>
      <w:r>
        <w:t xml:space="preserve">Rb. Luik 1 oktober 2008, </w:t>
      </w:r>
      <w:r w:rsidRPr="00C310DD">
        <w:rPr>
          <w:i/>
          <w:iCs/>
        </w:rPr>
        <w:t>DAOR</w:t>
      </w:r>
      <w:r>
        <w:t xml:space="preserve"> 2009, 91.</w:t>
      </w:r>
    </w:p>
    <w:p w14:paraId="3BB25128" w14:textId="2F622FBD" w:rsidR="0002782F" w:rsidRDefault="0002782F" w:rsidP="00196BD8">
      <w:pPr>
        <w:spacing w:line="276" w:lineRule="auto"/>
        <w:jc w:val="both"/>
      </w:pPr>
      <w:r>
        <w:t xml:space="preserve">Kh. Brussel 10 november 2008, </w:t>
      </w:r>
      <w:r w:rsidRPr="001E0FFB">
        <w:rPr>
          <w:i/>
          <w:iCs/>
        </w:rPr>
        <w:t>RW</w:t>
      </w:r>
      <w:r>
        <w:t xml:space="preserve"> 2009-10, 549.</w:t>
      </w:r>
    </w:p>
    <w:p w14:paraId="7114DBAD" w14:textId="66D58F40" w:rsidR="00C204F6" w:rsidRDefault="00C204F6" w:rsidP="00196BD8">
      <w:pPr>
        <w:spacing w:line="276" w:lineRule="auto"/>
        <w:jc w:val="both"/>
      </w:pPr>
      <w:r>
        <w:t xml:space="preserve">Kh. Dendermonde 7 maart 2013, </w:t>
      </w:r>
      <w:r w:rsidRPr="001E0FFB">
        <w:rPr>
          <w:i/>
          <w:iCs/>
        </w:rPr>
        <w:t>RW</w:t>
      </w:r>
      <w:r>
        <w:t xml:space="preserve"> 2016/17, nr. 275.</w:t>
      </w:r>
    </w:p>
    <w:p w14:paraId="62374A48" w14:textId="0367696E" w:rsidR="00382107" w:rsidRDefault="00382107" w:rsidP="00196BD8">
      <w:pPr>
        <w:spacing w:line="276" w:lineRule="auto"/>
        <w:jc w:val="both"/>
      </w:pPr>
      <w:r>
        <w:t xml:space="preserve">Rb. Antwerpen 31 oktober 2017, </w:t>
      </w:r>
      <w:r w:rsidRPr="00382107">
        <w:rPr>
          <w:i/>
          <w:iCs/>
        </w:rPr>
        <w:t>TBO</w:t>
      </w:r>
      <w:r>
        <w:t xml:space="preserve"> 2018/3, 254.</w:t>
      </w:r>
    </w:p>
    <w:p w14:paraId="24EEE894" w14:textId="060EB6B6" w:rsidR="00FE6378" w:rsidRPr="0005507B" w:rsidRDefault="006770AA" w:rsidP="00196BD8">
      <w:pPr>
        <w:spacing w:line="276" w:lineRule="auto"/>
        <w:jc w:val="both"/>
      </w:pPr>
      <w:r>
        <w:t>Hof van Beroep Antwerpen 15 februari 2023, C/382/2023.</w:t>
      </w:r>
    </w:p>
    <w:sectPr w:rsidR="00FE6378" w:rsidRPr="0005507B" w:rsidSect="00B27350">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FDFE9" w14:textId="77777777" w:rsidR="004C6702" w:rsidRDefault="004C6702" w:rsidP="007D59A7">
      <w:pPr>
        <w:spacing w:after="0" w:line="240" w:lineRule="auto"/>
      </w:pPr>
      <w:r>
        <w:separator/>
      </w:r>
    </w:p>
  </w:endnote>
  <w:endnote w:type="continuationSeparator" w:id="0">
    <w:p w14:paraId="673AB7DE" w14:textId="77777777" w:rsidR="004C6702" w:rsidRDefault="004C6702" w:rsidP="007D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556093461"/>
      <w:docPartObj>
        <w:docPartGallery w:val="Page Numbers (Bottom of Page)"/>
        <w:docPartUnique/>
      </w:docPartObj>
    </w:sdtPr>
    <w:sdtContent>
      <w:p w14:paraId="15F92C36" w14:textId="13A30117" w:rsidR="00B27350" w:rsidRDefault="00B27350" w:rsidP="009F749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F785247" w14:textId="77777777" w:rsidR="00B27350" w:rsidRDefault="00B27350" w:rsidP="00B2735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605704855"/>
      <w:docPartObj>
        <w:docPartGallery w:val="Page Numbers (Bottom of Page)"/>
        <w:docPartUnique/>
      </w:docPartObj>
    </w:sdtPr>
    <w:sdtContent>
      <w:p w14:paraId="755B3BBA" w14:textId="3335F063" w:rsidR="00B27350" w:rsidRDefault="00B27350" w:rsidP="009F749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32E0CE68" w14:textId="77777777" w:rsidR="00B27350" w:rsidRDefault="00B27350" w:rsidP="00B2735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939F4" w14:textId="77777777" w:rsidR="004C6702" w:rsidRDefault="004C6702" w:rsidP="007D59A7">
      <w:pPr>
        <w:spacing w:after="0" w:line="240" w:lineRule="auto"/>
      </w:pPr>
      <w:r>
        <w:separator/>
      </w:r>
    </w:p>
  </w:footnote>
  <w:footnote w:type="continuationSeparator" w:id="0">
    <w:p w14:paraId="5AEF2E97" w14:textId="77777777" w:rsidR="004C6702" w:rsidRDefault="004C6702" w:rsidP="007D59A7">
      <w:pPr>
        <w:spacing w:after="0" w:line="240" w:lineRule="auto"/>
      </w:pPr>
      <w:r>
        <w:continuationSeparator/>
      </w:r>
    </w:p>
  </w:footnote>
  <w:footnote w:id="1">
    <w:p w14:paraId="2100933F" w14:textId="7B7990B2" w:rsidR="00B15A37" w:rsidRDefault="00B15A37">
      <w:pPr>
        <w:pStyle w:val="Voetnoottekst"/>
      </w:pPr>
      <w:r>
        <w:rPr>
          <w:rStyle w:val="Voetnootmarkering"/>
        </w:rPr>
        <w:footnoteRef/>
      </w:r>
      <w:r>
        <w:t xml:space="preserve"> Van Wechem</w:t>
      </w:r>
      <w:r w:rsidR="004F6958">
        <w:t xml:space="preserve"> </w:t>
      </w:r>
      <w:r>
        <w:t xml:space="preserve">2007, p. 13. </w:t>
      </w:r>
    </w:p>
  </w:footnote>
  <w:footnote w:id="2">
    <w:p w14:paraId="12EF2DCB" w14:textId="4FB2F69B" w:rsidR="00412D30" w:rsidRDefault="00412D30">
      <w:pPr>
        <w:pStyle w:val="Voetnoottekst"/>
      </w:pPr>
      <w:r>
        <w:rPr>
          <w:rStyle w:val="Voetnootmarkering"/>
        </w:rPr>
        <w:footnoteRef/>
      </w:r>
      <w:r>
        <w:t xml:space="preserve"> </w:t>
      </w:r>
      <w:r w:rsidR="00D6121A">
        <w:t>Richtlijn 2006/23/EG</w:t>
      </w:r>
      <w:r w:rsidR="00F97B3E">
        <w:t xml:space="preserve"> van het Europees Parlement en de raad van 12 december 2006 betreffende diensten op de interne markt</w:t>
      </w:r>
      <w:r w:rsidR="001567B6">
        <w:t xml:space="preserve"> (Dienstenrichtlijn).</w:t>
      </w:r>
    </w:p>
  </w:footnote>
  <w:footnote w:id="3">
    <w:p w14:paraId="16049825" w14:textId="58C35A74" w:rsidR="00D0512B" w:rsidRDefault="00D0512B">
      <w:pPr>
        <w:pStyle w:val="Voetnoottekst"/>
      </w:pPr>
      <w:r>
        <w:rPr>
          <w:rStyle w:val="Voetnootmarkering"/>
        </w:rPr>
        <w:footnoteRef/>
      </w:r>
      <w:r>
        <w:t xml:space="preserve"> </w:t>
      </w:r>
      <w:r w:rsidR="00BA0CF0">
        <w:t xml:space="preserve">Spanjaard, </w:t>
      </w:r>
      <w:r w:rsidR="00BA0CF0" w:rsidRPr="00AE31DC">
        <w:rPr>
          <w:i/>
          <w:iCs/>
        </w:rPr>
        <w:t>Contracteren</w:t>
      </w:r>
      <w:r w:rsidR="00AE31DC">
        <w:t xml:space="preserve"> 2012</w:t>
      </w:r>
      <w:r w:rsidR="00EF6E10">
        <w:t>, § 3</w:t>
      </w:r>
      <w:r w:rsidR="001C14CE">
        <w:t>.</w:t>
      </w:r>
    </w:p>
  </w:footnote>
  <w:footnote w:id="4">
    <w:p w14:paraId="0292A205" w14:textId="60C2D601" w:rsidR="006A66DF" w:rsidRDefault="006A66DF">
      <w:pPr>
        <w:pStyle w:val="Voetnoottekst"/>
      </w:pPr>
      <w:r>
        <w:rPr>
          <w:rStyle w:val="Voetnootmarkering"/>
        </w:rPr>
        <w:footnoteRef/>
      </w:r>
      <w:r w:rsidR="00536ED8">
        <w:t>, Kamerstukken II 2009/10</w:t>
      </w:r>
      <w:r w:rsidR="001C2A87">
        <w:t>, 31 859, nr. 4, p.</w:t>
      </w:r>
      <w:r w:rsidR="00AC6AB7">
        <w:t xml:space="preserve"> 10, naar aanleiding van opmerkingen van de Eerste Kamer, zie: Kamerstukken I 2008/09</w:t>
      </w:r>
      <w:r w:rsidR="009C4368">
        <w:t xml:space="preserve">, 31 579, nr. B, p. 6. </w:t>
      </w:r>
    </w:p>
  </w:footnote>
  <w:footnote w:id="5">
    <w:p w14:paraId="3611D16C" w14:textId="05150862" w:rsidR="00E36E33" w:rsidRPr="00E36E33" w:rsidRDefault="00E36E33">
      <w:pPr>
        <w:pStyle w:val="Voetnoottekst"/>
        <w:rPr>
          <w:rFonts w:ascii="Calibri" w:hAnsi="Calibri" w:cs="Calibri"/>
          <w:i/>
          <w:iCs/>
          <w:color w:val="000000" w:themeColor="text1"/>
          <w:shd w:val="clear" w:color="auto" w:fill="FFFFFF"/>
        </w:rPr>
      </w:pPr>
      <w:r w:rsidRPr="00E36E33">
        <w:rPr>
          <w:rStyle w:val="Voetnootmarkering"/>
          <w:color w:val="000000" w:themeColor="text1"/>
        </w:rPr>
        <w:footnoteRef/>
      </w:r>
      <w:r w:rsidRPr="00E36E33">
        <w:rPr>
          <w:color w:val="000000" w:themeColor="text1"/>
        </w:rPr>
        <w:t xml:space="preserve"> </w:t>
      </w:r>
      <w:r w:rsidRPr="00E36E33">
        <w:rPr>
          <w:rFonts w:ascii="Calibri" w:hAnsi="Calibri" w:cs="Calibri"/>
          <w:color w:val="000000" w:themeColor="text1"/>
          <w:shd w:val="clear" w:color="auto" w:fill="FFFFFF"/>
        </w:rPr>
        <w:t xml:space="preserve">Spanjaard, </w:t>
      </w:r>
      <w:r w:rsidRPr="00E36E33">
        <w:rPr>
          <w:rFonts w:ascii="Calibri" w:hAnsi="Calibri" w:cs="Calibri"/>
          <w:i/>
          <w:iCs/>
          <w:color w:val="000000" w:themeColor="text1"/>
          <w:shd w:val="clear" w:color="auto" w:fill="FFFFFF"/>
        </w:rPr>
        <w:t>Contracteren</w:t>
      </w:r>
      <w:r w:rsidRPr="00E36E33">
        <w:rPr>
          <w:rFonts w:ascii="Calibri" w:hAnsi="Calibri" w:cs="Calibri"/>
          <w:color w:val="000000" w:themeColor="text1"/>
          <w:shd w:val="clear" w:color="auto" w:fill="FFFFFF"/>
        </w:rPr>
        <w:t xml:space="preserve"> 2012</w:t>
      </w:r>
      <w:r w:rsidR="00AC096A">
        <w:rPr>
          <w:rFonts w:ascii="Calibri" w:hAnsi="Calibri" w:cs="Calibri"/>
          <w:i/>
          <w:iCs/>
          <w:color w:val="000000" w:themeColor="text1"/>
          <w:shd w:val="clear" w:color="auto" w:fill="FFFFFF"/>
        </w:rPr>
        <w:t xml:space="preserve">, </w:t>
      </w:r>
      <w:r w:rsidR="00AC096A" w:rsidRPr="00AC096A">
        <w:rPr>
          <w:rFonts w:ascii="Calibri" w:hAnsi="Calibri" w:cs="Calibri"/>
          <w:color w:val="000000" w:themeColor="text1"/>
          <w:shd w:val="clear" w:color="auto" w:fill="FFFFFF"/>
        </w:rPr>
        <w:t>§3-5</w:t>
      </w:r>
      <w:r w:rsidR="00AC096A">
        <w:rPr>
          <w:rFonts w:ascii="Calibri" w:hAnsi="Calibri" w:cs="Calibri"/>
          <w:i/>
          <w:iCs/>
          <w:color w:val="000000" w:themeColor="text1"/>
          <w:shd w:val="clear" w:color="auto" w:fill="FFFFFF"/>
        </w:rPr>
        <w:t xml:space="preserve">. </w:t>
      </w:r>
    </w:p>
  </w:footnote>
  <w:footnote w:id="6">
    <w:p w14:paraId="1C9F342B" w14:textId="755E8A48" w:rsidR="00E36E33" w:rsidRDefault="00E36E33">
      <w:pPr>
        <w:pStyle w:val="Voetnoottekst"/>
      </w:pPr>
      <w:r>
        <w:rPr>
          <w:rStyle w:val="Voetnootmarkering"/>
        </w:rPr>
        <w:footnoteRef/>
      </w:r>
      <w:r>
        <w:t xml:space="preserve"> Vgl. Kamerstukken II 2007/08, 31 358, nr. 3, p. 9 en bijv.  Hijma</w:t>
      </w:r>
      <w:r w:rsidR="00FE0822">
        <w:t xml:space="preserve"> </w:t>
      </w:r>
      <w:r>
        <w:t>2010, p. 66.</w:t>
      </w:r>
    </w:p>
  </w:footnote>
  <w:footnote w:id="7">
    <w:p w14:paraId="32EA2CEA" w14:textId="00A30826" w:rsidR="00C91BD4" w:rsidRPr="00BF39D1" w:rsidRDefault="00C91BD4">
      <w:pPr>
        <w:pStyle w:val="Voetnoottekst"/>
      </w:pPr>
      <w:r>
        <w:rPr>
          <w:rStyle w:val="Voetnootmarkering"/>
        </w:rPr>
        <w:footnoteRef/>
      </w:r>
      <w:r w:rsidRPr="00BF39D1">
        <w:t xml:space="preserve"> Drion</w:t>
      </w:r>
      <w:r w:rsidR="00BF39D1">
        <w:t xml:space="preserve">, </w:t>
      </w:r>
      <w:r w:rsidR="00BF39D1" w:rsidRPr="00FE0822">
        <w:rPr>
          <w:i/>
          <w:iCs/>
        </w:rPr>
        <w:t>NJB</w:t>
      </w:r>
      <w:r w:rsidR="00BF39D1">
        <w:t xml:space="preserve"> 2010</w:t>
      </w:r>
      <w:r w:rsidR="00FE0822">
        <w:t xml:space="preserve">, </w:t>
      </w:r>
      <w:r w:rsidR="00BF39D1">
        <w:t xml:space="preserve">p. 2339. </w:t>
      </w:r>
    </w:p>
  </w:footnote>
  <w:footnote w:id="8">
    <w:p w14:paraId="03931479" w14:textId="32D4E1AD" w:rsidR="007D59A7" w:rsidRDefault="007D59A7">
      <w:pPr>
        <w:pStyle w:val="Voetnoottekst"/>
      </w:pPr>
      <w:r>
        <w:rPr>
          <w:rStyle w:val="Voetnootmarkering"/>
        </w:rPr>
        <w:footnoteRef/>
      </w:r>
      <w:r>
        <w:t xml:space="preserve"> </w:t>
      </w:r>
      <w:r w:rsidR="005465D4">
        <w:t>HvJ EU 30 januari 2018, ECLI:EU:C:2018:44</w:t>
      </w:r>
      <w:r w:rsidR="00111C35">
        <w:t xml:space="preserve"> (</w:t>
      </w:r>
      <w:r w:rsidR="00111C35" w:rsidRPr="00111C35">
        <w:rPr>
          <w:i/>
          <w:iCs/>
        </w:rPr>
        <w:t>Gemeente Appingedam</w:t>
      </w:r>
      <w:r w:rsidR="00111C35">
        <w:t>)</w:t>
      </w:r>
      <w:r w:rsidR="00AB2042">
        <w:t>, r.o. 84-97.</w:t>
      </w:r>
    </w:p>
  </w:footnote>
  <w:footnote w:id="9">
    <w:p w14:paraId="2711A97E" w14:textId="68193918" w:rsidR="00FB7D4D" w:rsidRDefault="00FB7D4D">
      <w:pPr>
        <w:pStyle w:val="Voetnoottekst"/>
      </w:pPr>
      <w:r>
        <w:rPr>
          <w:rStyle w:val="Voetnootmarkering"/>
        </w:rPr>
        <w:footnoteRef/>
      </w:r>
      <w:r>
        <w:t xml:space="preserve"> HR 2 juni 2023, ECLI:NL:HR:2023:835. </w:t>
      </w:r>
    </w:p>
  </w:footnote>
  <w:footnote w:id="10">
    <w:p w14:paraId="7D62A3D9" w14:textId="0F816857" w:rsidR="00900D1D" w:rsidRDefault="00900D1D">
      <w:pPr>
        <w:pStyle w:val="Voetnoottekst"/>
      </w:pPr>
      <w:r>
        <w:rPr>
          <w:rStyle w:val="Voetnootmarkering"/>
        </w:rPr>
        <w:footnoteRef/>
      </w:r>
      <w:r>
        <w:t xml:space="preserve"> </w:t>
      </w:r>
      <w:r w:rsidR="00E206D9">
        <w:t>HR 17 december 1999, ECLI:NL:HR:</w:t>
      </w:r>
      <w:r w:rsidR="009B4F94">
        <w:t>1999:AA3876 (</w:t>
      </w:r>
      <w:r w:rsidR="00352865" w:rsidRPr="00352865">
        <w:rPr>
          <w:i/>
          <w:iCs/>
        </w:rPr>
        <w:t>Breg/Aper</w:t>
      </w:r>
      <w:r w:rsidR="00352865">
        <w:t>).</w:t>
      </w:r>
    </w:p>
  </w:footnote>
  <w:footnote w:id="11">
    <w:p w14:paraId="675F8C2C" w14:textId="5DB6F387" w:rsidR="00596DF6" w:rsidRDefault="00596DF6">
      <w:pPr>
        <w:pStyle w:val="Voetnoottekst"/>
      </w:pPr>
      <w:r>
        <w:rPr>
          <w:rStyle w:val="Voetnootmarkering"/>
        </w:rPr>
        <w:footnoteRef/>
      </w:r>
      <w:r>
        <w:t xml:space="preserve"> </w:t>
      </w:r>
      <w:r w:rsidR="00DA34E6">
        <w:t xml:space="preserve">J.H.M. Spanjaard, </w:t>
      </w:r>
      <w:r w:rsidR="00AE0243" w:rsidRPr="00AE0243">
        <w:rPr>
          <w:i/>
          <w:iCs/>
        </w:rPr>
        <w:t>Contracteren</w:t>
      </w:r>
      <w:r w:rsidR="00AE0243">
        <w:t xml:space="preserve"> 2012</w:t>
      </w:r>
      <w:r w:rsidR="00B207D3">
        <w:t xml:space="preserve">, §6. </w:t>
      </w:r>
    </w:p>
  </w:footnote>
  <w:footnote w:id="12">
    <w:p w14:paraId="0B24F241" w14:textId="6A5674DD" w:rsidR="00130F6D" w:rsidRDefault="00130F6D">
      <w:pPr>
        <w:pStyle w:val="Voetnoottekst"/>
      </w:pPr>
      <w:r>
        <w:rPr>
          <w:rStyle w:val="Voetnootmarkering"/>
        </w:rPr>
        <w:footnoteRef/>
      </w:r>
      <w:r>
        <w:t xml:space="preserve"> J.H.M. Spanjaard</w:t>
      </w:r>
      <w:r w:rsidR="00D0085A">
        <w:t xml:space="preserve">, </w:t>
      </w:r>
      <w:r w:rsidR="00B22E4F" w:rsidRPr="00B22E4F">
        <w:rPr>
          <w:i/>
          <w:iCs/>
        </w:rPr>
        <w:t>Contracteren</w:t>
      </w:r>
      <w:r w:rsidR="00B22E4F">
        <w:t xml:space="preserve"> 2018</w:t>
      </w:r>
      <w:r w:rsidR="00B046C3">
        <w:t xml:space="preserve">, </w:t>
      </w:r>
      <w:r w:rsidR="00993711">
        <w:t>§3.</w:t>
      </w:r>
    </w:p>
  </w:footnote>
  <w:footnote w:id="13">
    <w:p w14:paraId="723D8EAF" w14:textId="659C405B" w:rsidR="00A8342E" w:rsidRDefault="00A8342E">
      <w:pPr>
        <w:pStyle w:val="Voetnoottekst"/>
      </w:pPr>
      <w:r>
        <w:rPr>
          <w:rStyle w:val="Voetnootmarkering"/>
        </w:rPr>
        <w:footnoteRef/>
      </w:r>
      <w:r>
        <w:t xml:space="preserve"> Volgt ook uit Conclusie P-G Wissink 16 december </w:t>
      </w:r>
      <w:r w:rsidR="00C118A5">
        <w:t>2022, ECLI</w:t>
      </w:r>
      <w:r>
        <w:t>:NL:PHR:2022:1194</w:t>
      </w:r>
      <w:r w:rsidR="00E547C9">
        <w:t>, r.o. 3.14-3.15.</w:t>
      </w:r>
    </w:p>
  </w:footnote>
  <w:footnote w:id="14">
    <w:p w14:paraId="403E2C3E" w14:textId="207A64A5" w:rsidR="003B1174" w:rsidRDefault="003B1174" w:rsidP="003B1174">
      <w:pPr>
        <w:pStyle w:val="Voetnoottekst"/>
      </w:pPr>
      <w:r>
        <w:rPr>
          <w:rStyle w:val="Voetnootmarkering"/>
        </w:rPr>
        <w:footnoteRef/>
      </w:r>
      <w:r>
        <w:t xml:space="preserve"> Spanjaard, </w:t>
      </w:r>
      <w:r w:rsidRPr="002271B6">
        <w:rPr>
          <w:i/>
          <w:iCs/>
        </w:rPr>
        <w:t>Contracteren</w:t>
      </w:r>
      <w:r>
        <w:t xml:space="preserve"> 2018</w:t>
      </w:r>
      <w:r w:rsidR="00E547C9">
        <w:t>, §4.</w:t>
      </w:r>
    </w:p>
  </w:footnote>
  <w:footnote w:id="15">
    <w:p w14:paraId="0AB4C0A2" w14:textId="7637EA17" w:rsidR="008D16C2" w:rsidRDefault="008D16C2" w:rsidP="008D16C2">
      <w:pPr>
        <w:pStyle w:val="Voetnoottekst"/>
      </w:pPr>
      <w:r>
        <w:rPr>
          <w:rStyle w:val="Voetnootmarkering"/>
        </w:rPr>
        <w:footnoteRef/>
      </w:r>
      <w:r>
        <w:t xml:space="preserve"> Conclusie P-G Wissink 16 december 2022, ECLI:NL:PHR:2022:1194, r.o. 3.14-3.15.</w:t>
      </w:r>
    </w:p>
  </w:footnote>
  <w:footnote w:id="16">
    <w:p w14:paraId="58F3CC21" w14:textId="134EB585" w:rsidR="00FE30DE" w:rsidRDefault="00FE30DE">
      <w:pPr>
        <w:pStyle w:val="Voetnoottekst"/>
      </w:pPr>
      <w:r>
        <w:rPr>
          <w:rStyle w:val="Voetnootmarkering"/>
        </w:rPr>
        <w:footnoteRef/>
      </w:r>
      <w:r>
        <w:t xml:space="preserve"> </w:t>
      </w:r>
      <w:r w:rsidR="00B53460">
        <w:t xml:space="preserve">Voor het eerst werd in 2009 letter ‘d’ toegevoegd aan art. 6:234 </w:t>
      </w:r>
      <w:r w:rsidR="00AA5FC5">
        <w:t xml:space="preserve">lid 1 </w:t>
      </w:r>
      <w:r w:rsidR="00B53460">
        <w:t>BW</w:t>
      </w:r>
      <w:r w:rsidR="00AA5FC5">
        <w:t xml:space="preserve"> (oud)</w:t>
      </w:r>
      <w:r w:rsidR="00516151">
        <w:t xml:space="preserve"> (</w:t>
      </w:r>
      <w:r w:rsidR="00516151" w:rsidRPr="00B5296B">
        <w:rPr>
          <w:i/>
          <w:iCs/>
        </w:rPr>
        <w:t>Stb</w:t>
      </w:r>
      <w:r w:rsidR="009872F7">
        <w:t>. 2009, 617</w:t>
      </w:r>
      <w:r w:rsidR="00D0600B">
        <w:t>.</w:t>
      </w:r>
      <w:r w:rsidR="009872F7">
        <w:t xml:space="preserve">), in 2010 is het weer weggehaald wat tot veel verwarring heeft geleid </w:t>
      </w:r>
      <w:r w:rsidR="00B5296B">
        <w:t>(</w:t>
      </w:r>
      <w:r w:rsidR="00B5296B">
        <w:rPr>
          <w:i/>
          <w:iCs/>
        </w:rPr>
        <w:t>S</w:t>
      </w:r>
      <w:r w:rsidR="008A5834" w:rsidRPr="00B5296B">
        <w:rPr>
          <w:i/>
          <w:iCs/>
        </w:rPr>
        <w:t>tb</w:t>
      </w:r>
      <w:r w:rsidR="008A5834">
        <w:t>. 2010, 222</w:t>
      </w:r>
      <w:r w:rsidR="00D0600B">
        <w:t>.</w:t>
      </w:r>
      <w:r w:rsidR="008A5834">
        <w:t>). Tot slot is in 2012 het artikel weer herzien wat tot de huidige regeling heeft geleid (</w:t>
      </w:r>
      <w:r w:rsidR="00B5296B">
        <w:rPr>
          <w:i/>
          <w:iCs/>
        </w:rPr>
        <w:t>S</w:t>
      </w:r>
      <w:r w:rsidR="00FB7B30" w:rsidRPr="00B5296B">
        <w:rPr>
          <w:i/>
          <w:iCs/>
        </w:rPr>
        <w:t>tb</w:t>
      </w:r>
      <w:r w:rsidR="00FB7B30">
        <w:t>. 2011, 5</w:t>
      </w:r>
      <w:r w:rsidR="00C6781A">
        <w:t>92</w:t>
      </w:r>
      <w:r w:rsidR="00D0600B">
        <w:t>.).</w:t>
      </w:r>
    </w:p>
  </w:footnote>
  <w:footnote w:id="17">
    <w:p w14:paraId="1A09FF0F" w14:textId="6B827687" w:rsidR="00556877" w:rsidRDefault="00556877">
      <w:pPr>
        <w:pStyle w:val="Voetnoottekst"/>
      </w:pPr>
      <w:r>
        <w:rPr>
          <w:rStyle w:val="Voetnootmarkering"/>
        </w:rPr>
        <w:footnoteRef/>
      </w:r>
      <w:r>
        <w:t xml:space="preserve"> HR 1 oktober 1999, ECLI:NL:HR:1999:ZC2977 (Geurtzen/Kampstaal).</w:t>
      </w:r>
    </w:p>
  </w:footnote>
  <w:footnote w:id="18">
    <w:p w14:paraId="6DB54B90" w14:textId="27F34905" w:rsidR="0011056C" w:rsidRDefault="0011056C">
      <w:pPr>
        <w:pStyle w:val="Voetnoottekst"/>
      </w:pPr>
      <w:r>
        <w:rPr>
          <w:rStyle w:val="Voetnootmarkering"/>
        </w:rPr>
        <w:footnoteRef/>
      </w:r>
      <w:r>
        <w:t xml:space="preserve"> HR 1 oktober 1999, ECLI:NL:HR:1999:ZC2977 (</w:t>
      </w:r>
      <w:r w:rsidRPr="00BB5AE4">
        <w:rPr>
          <w:i/>
          <w:iCs/>
        </w:rPr>
        <w:t>Geu</w:t>
      </w:r>
      <w:r w:rsidR="00556877">
        <w:rPr>
          <w:i/>
          <w:iCs/>
        </w:rPr>
        <w:t>r</w:t>
      </w:r>
      <w:r w:rsidRPr="00BB5AE4">
        <w:rPr>
          <w:i/>
          <w:iCs/>
        </w:rPr>
        <w:t>tzen/Kampstaal</w:t>
      </w:r>
      <w:r>
        <w:t>), r.o. 3.4.</w:t>
      </w:r>
    </w:p>
  </w:footnote>
  <w:footnote w:id="19">
    <w:p w14:paraId="1F5C48AF" w14:textId="57B8140F" w:rsidR="00E42FBB" w:rsidRDefault="00E42FBB">
      <w:pPr>
        <w:pStyle w:val="Voetnoottekst"/>
      </w:pPr>
      <w:r>
        <w:rPr>
          <w:rStyle w:val="Voetnootmarkering"/>
        </w:rPr>
        <w:footnoteRef/>
      </w:r>
      <w:r>
        <w:t xml:space="preserve"> </w:t>
      </w:r>
      <w:r w:rsidR="0034190F">
        <w:t xml:space="preserve">Zippro, </w:t>
      </w:r>
      <w:r w:rsidR="0034190F" w:rsidRPr="0034190F">
        <w:rPr>
          <w:i/>
          <w:iCs/>
        </w:rPr>
        <w:t>MvV</w:t>
      </w:r>
      <w:r w:rsidR="0034190F">
        <w:t xml:space="preserve"> 2023, p. 59.</w:t>
      </w:r>
    </w:p>
  </w:footnote>
  <w:footnote w:id="20">
    <w:p w14:paraId="7F6579F6" w14:textId="057F0DC7" w:rsidR="00A934CF" w:rsidRDefault="00A934CF">
      <w:pPr>
        <w:pStyle w:val="Voetnoottekst"/>
      </w:pPr>
      <w:r>
        <w:rPr>
          <w:rStyle w:val="Voetnootmarkering"/>
        </w:rPr>
        <w:footnoteRef/>
      </w:r>
      <w:r>
        <w:t xml:space="preserve"> HR 11 november 2022, ECLI:NL:HR:2022:1599 (</w:t>
      </w:r>
      <w:r w:rsidRPr="00533211">
        <w:rPr>
          <w:i/>
          <w:iCs/>
        </w:rPr>
        <w:t>De Eendracht/Doens</w:t>
      </w:r>
      <w:r>
        <w:t xml:space="preserve">), r.o. </w:t>
      </w:r>
      <w:r w:rsidR="00533211">
        <w:t>3.2.3.</w:t>
      </w:r>
    </w:p>
  </w:footnote>
  <w:footnote w:id="21">
    <w:p w14:paraId="62555237" w14:textId="5B71CC67" w:rsidR="003A70B2" w:rsidRDefault="003A70B2">
      <w:pPr>
        <w:pStyle w:val="Voetnoottekst"/>
      </w:pPr>
      <w:r>
        <w:rPr>
          <w:rStyle w:val="Voetnootmarkering"/>
        </w:rPr>
        <w:footnoteRef/>
      </w:r>
      <w:r>
        <w:t xml:space="preserve"> </w:t>
      </w:r>
      <w:r w:rsidR="00684219" w:rsidRPr="00057189">
        <w:rPr>
          <w:i/>
          <w:iCs/>
        </w:rPr>
        <w:t>Kamerstukken II</w:t>
      </w:r>
      <w:r w:rsidR="009F1500">
        <w:t xml:space="preserve">, 2007/08, 31 358, nr. 1-2. &amp; </w:t>
      </w:r>
      <w:r w:rsidR="009F1500" w:rsidRPr="00057189">
        <w:rPr>
          <w:i/>
          <w:iCs/>
        </w:rPr>
        <w:t>Kamerstukken II</w:t>
      </w:r>
      <w:r w:rsidR="009F1500">
        <w:t>, 2008/</w:t>
      </w:r>
      <w:r w:rsidR="00442F14">
        <w:t>09,</w:t>
      </w:r>
      <w:r w:rsidR="00132BAC">
        <w:t xml:space="preserve"> 31 </w:t>
      </w:r>
      <w:r w:rsidR="00057189">
        <w:t>859, nr.</w:t>
      </w:r>
      <w:r w:rsidR="00442F14">
        <w:t xml:space="preserve"> 1-2. </w:t>
      </w:r>
    </w:p>
  </w:footnote>
  <w:footnote w:id="22">
    <w:p w14:paraId="0A88BA04" w14:textId="68275E30" w:rsidR="00935BC3" w:rsidRDefault="00935BC3">
      <w:pPr>
        <w:pStyle w:val="Voetnoottekst"/>
      </w:pPr>
      <w:r>
        <w:rPr>
          <w:rStyle w:val="Voetnootmarkering"/>
        </w:rPr>
        <w:footnoteRef/>
      </w:r>
      <w:r>
        <w:t xml:space="preserve"> </w:t>
      </w:r>
      <w:r w:rsidRPr="00057189">
        <w:rPr>
          <w:i/>
          <w:iCs/>
        </w:rPr>
        <w:t>Kamerstukken I,</w:t>
      </w:r>
      <w:r>
        <w:t xml:space="preserve"> 2010/11, 31 358,</w:t>
      </w:r>
      <w:r w:rsidR="00644EEE">
        <w:t xml:space="preserve"> nr.</w:t>
      </w:r>
      <w:r>
        <w:t xml:space="preserve"> G. </w:t>
      </w:r>
    </w:p>
  </w:footnote>
  <w:footnote w:id="23">
    <w:p w14:paraId="7948E935" w14:textId="13E11839" w:rsidR="00F81986" w:rsidRPr="00087025" w:rsidRDefault="00F81986">
      <w:pPr>
        <w:pStyle w:val="Voetnoottekst"/>
      </w:pPr>
      <w:r>
        <w:rPr>
          <w:rStyle w:val="Voetnootmarkering"/>
        </w:rPr>
        <w:footnoteRef/>
      </w:r>
      <w:r>
        <w:t xml:space="preserve"> Zie bijv. </w:t>
      </w:r>
      <w:r w:rsidR="00E4230D" w:rsidRPr="00087025">
        <w:t xml:space="preserve">Drion, </w:t>
      </w:r>
      <w:r w:rsidR="00E4230D" w:rsidRPr="006E6EF9">
        <w:rPr>
          <w:i/>
          <w:iCs/>
        </w:rPr>
        <w:t>NJB</w:t>
      </w:r>
      <w:r w:rsidR="00E4230D" w:rsidRPr="00087025">
        <w:t xml:space="preserve"> 2010, p. 2339; Spanjaard, </w:t>
      </w:r>
      <w:r w:rsidR="00E4230D" w:rsidRPr="006E6EF9">
        <w:rPr>
          <w:i/>
          <w:iCs/>
        </w:rPr>
        <w:t>Contracteren</w:t>
      </w:r>
      <w:r w:rsidR="00E4230D" w:rsidRPr="00087025">
        <w:t xml:space="preserve"> 2012</w:t>
      </w:r>
      <w:r w:rsidR="00087025" w:rsidRPr="00087025">
        <w:t xml:space="preserve">, p. 27-33; Van </w:t>
      </w:r>
      <w:r w:rsidR="00087025">
        <w:t xml:space="preserve">Wechem &amp; Spanjaard </w:t>
      </w:r>
      <w:r w:rsidR="00087025" w:rsidRPr="006E6EF9">
        <w:rPr>
          <w:i/>
          <w:iCs/>
        </w:rPr>
        <w:t>Contracteren</w:t>
      </w:r>
      <w:r w:rsidR="00087025">
        <w:t xml:space="preserve"> 2010</w:t>
      </w:r>
      <w:r w:rsidR="006E6EF9">
        <w:t xml:space="preserve">, p. 145-150; Spanjaard, </w:t>
      </w:r>
      <w:r w:rsidR="006E6EF9" w:rsidRPr="006E6EF9">
        <w:rPr>
          <w:i/>
          <w:iCs/>
        </w:rPr>
        <w:t>ORP</w:t>
      </w:r>
      <w:r w:rsidR="006E6EF9">
        <w:t xml:space="preserve"> 2012, p. 22-30. </w:t>
      </w:r>
    </w:p>
  </w:footnote>
  <w:footnote w:id="24">
    <w:p w14:paraId="57BB7C95" w14:textId="648E91BA" w:rsidR="00DF1544" w:rsidRPr="007C2EBA" w:rsidRDefault="00DF1544">
      <w:pPr>
        <w:pStyle w:val="Voetnoottekst"/>
        <w:rPr>
          <w:rFonts w:cs="Calibri"/>
          <w:color w:val="0D0D0D" w:themeColor="text1" w:themeTint="F2"/>
          <w:shd w:val="clear" w:color="auto" w:fill="FFFFFF"/>
        </w:rPr>
      </w:pPr>
      <w:r w:rsidRPr="007C2EBA">
        <w:rPr>
          <w:rStyle w:val="Voetnootmarkering"/>
        </w:rPr>
        <w:footnoteRef/>
      </w:r>
      <w:r w:rsidRPr="007C2EBA">
        <w:t xml:space="preserve"> </w:t>
      </w:r>
      <w:r w:rsidR="007C2EBA" w:rsidRPr="007C2EBA">
        <w:rPr>
          <w:rFonts w:cs="Calibri"/>
          <w:color w:val="0D0D0D" w:themeColor="text1" w:themeTint="F2"/>
          <w:shd w:val="clear" w:color="auto" w:fill="FFFFFF"/>
        </w:rPr>
        <w:t xml:space="preserve">Van Wechem &amp; Spanjaard, </w:t>
      </w:r>
      <w:r w:rsidR="007C2EBA" w:rsidRPr="007C2EBA">
        <w:rPr>
          <w:rFonts w:cs="Calibri"/>
          <w:i/>
          <w:iCs/>
          <w:color w:val="0D0D0D" w:themeColor="text1" w:themeTint="F2"/>
          <w:shd w:val="clear" w:color="auto" w:fill="FFFFFF"/>
        </w:rPr>
        <w:t>Contracteren</w:t>
      </w:r>
      <w:r w:rsidR="007C2EBA" w:rsidRPr="007C2EBA">
        <w:rPr>
          <w:rFonts w:cs="Calibri"/>
          <w:color w:val="0D0D0D" w:themeColor="text1" w:themeTint="F2"/>
          <w:shd w:val="clear" w:color="auto" w:fill="FFFFFF"/>
        </w:rPr>
        <w:t xml:space="preserve"> 2021, p. 35-39.</w:t>
      </w:r>
    </w:p>
  </w:footnote>
  <w:footnote w:id="25">
    <w:p w14:paraId="06946295" w14:textId="53249822" w:rsidR="0051290F" w:rsidRDefault="0051290F">
      <w:pPr>
        <w:pStyle w:val="Voetnoottekst"/>
      </w:pPr>
      <w:r>
        <w:rPr>
          <w:rStyle w:val="Voetnootmarkering"/>
        </w:rPr>
        <w:footnoteRef/>
      </w:r>
      <w:r>
        <w:t xml:space="preserve"> </w:t>
      </w:r>
      <w:r w:rsidRPr="00057189">
        <w:rPr>
          <w:i/>
          <w:iCs/>
        </w:rPr>
        <w:t>Kamerstukken</w:t>
      </w:r>
      <w:r>
        <w:t xml:space="preserve"> </w:t>
      </w:r>
      <w:r w:rsidRPr="00057189">
        <w:rPr>
          <w:i/>
          <w:iCs/>
        </w:rPr>
        <w:t>II</w:t>
      </w:r>
      <w:r>
        <w:t xml:space="preserve"> 2010/11, 32 863</w:t>
      </w:r>
      <w:r w:rsidR="000E5579">
        <w:t>, nr. 3 (MvT)</w:t>
      </w:r>
      <w:r w:rsidR="00BA322A">
        <w:t>.</w:t>
      </w:r>
    </w:p>
  </w:footnote>
  <w:footnote w:id="26">
    <w:p w14:paraId="4521EAF9" w14:textId="6810C54F" w:rsidR="00580BA2" w:rsidRPr="0070456B" w:rsidRDefault="00580BA2" w:rsidP="0070456B">
      <w:pPr>
        <w:spacing w:after="0"/>
        <w:rPr>
          <w:color w:val="0D0D0D" w:themeColor="text1" w:themeTint="F2"/>
          <w:sz w:val="20"/>
          <w:szCs w:val="20"/>
        </w:rPr>
      </w:pPr>
      <w:r w:rsidRPr="00340877">
        <w:rPr>
          <w:rStyle w:val="Voetnootmarkering"/>
          <w:sz w:val="20"/>
          <w:szCs w:val="20"/>
        </w:rPr>
        <w:footnoteRef/>
      </w:r>
      <w:r w:rsidRPr="00340877">
        <w:rPr>
          <w:sz w:val="20"/>
          <w:szCs w:val="20"/>
        </w:rPr>
        <w:t xml:space="preserve"> </w:t>
      </w:r>
      <w:r w:rsidR="00340877" w:rsidRPr="00340877">
        <w:rPr>
          <w:color w:val="0D0D0D" w:themeColor="text1" w:themeTint="F2"/>
          <w:sz w:val="20"/>
          <w:szCs w:val="20"/>
        </w:rPr>
        <w:t xml:space="preserve">Valk &amp; Valk, in: </w:t>
      </w:r>
      <w:r w:rsidR="00340877" w:rsidRPr="00340877">
        <w:rPr>
          <w:i/>
          <w:iCs/>
          <w:color w:val="0D0D0D" w:themeColor="text1" w:themeTint="F2"/>
          <w:sz w:val="20"/>
          <w:szCs w:val="20"/>
        </w:rPr>
        <w:t>T&amp;C BW</w:t>
      </w:r>
      <w:r w:rsidR="006931F1">
        <w:rPr>
          <w:i/>
          <w:iCs/>
          <w:color w:val="0D0D0D" w:themeColor="text1" w:themeTint="F2"/>
          <w:sz w:val="20"/>
          <w:szCs w:val="20"/>
        </w:rPr>
        <w:t>,</w:t>
      </w:r>
      <w:r w:rsidR="00340877" w:rsidRPr="00340877">
        <w:rPr>
          <w:i/>
          <w:iCs/>
          <w:color w:val="0D0D0D" w:themeColor="text1" w:themeTint="F2"/>
          <w:sz w:val="20"/>
          <w:szCs w:val="20"/>
        </w:rPr>
        <w:t xml:space="preserve"> </w:t>
      </w:r>
      <w:r w:rsidR="00340877" w:rsidRPr="00340877">
        <w:rPr>
          <w:color w:val="0D0D0D" w:themeColor="text1" w:themeTint="F2"/>
          <w:sz w:val="20"/>
          <w:szCs w:val="20"/>
        </w:rPr>
        <w:t xml:space="preserve">Commentaar op art. 6:234 BW. </w:t>
      </w:r>
    </w:p>
  </w:footnote>
  <w:footnote w:id="27">
    <w:p w14:paraId="7A22F0F1" w14:textId="20ABBF21" w:rsidR="0070456B" w:rsidRDefault="0070456B">
      <w:pPr>
        <w:pStyle w:val="Voetnoottekst"/>
      </w:pPr>
      <w:r>
        <w:rPr>
          <w:rStyle w:val="Voetnootmarkering"/>
        </w:rPr>
        <w:footnoteRef/>
      </w:r>
      <w:r>
        <w:t xml:space="preserve"> Schaub, </w:t>
      </w:r>
      <w:r w:rsidR="00483DDF" w:rsidRPr="00483DDF">
        <w:rPr>
          <w:i/>
          <w:iCs/>
        </w:rPr>
        <w:t>NTBR</w:t>
      </w:r>
      <w:r w:rsidR="00483DDF">
        <w:t xml:space="preserve"> 2013 en ook De Graaf, </w:t>
      </w:r>
      <w:r w:rsidR="00483DDF" w:rsidRPr="00483DDF">
        <w:rPr>
          <w:i/>
          <w:iCs/>
        </w:rPr>
        <w:t>NTBR</w:t>
      </w:r>
      <w:r w:rsidR="00483DDF">
        <w:t xml:space="preserve"> 2018; </w:t>
      </w:r>
      <w:r w:rsidR="00CC3538">
        <w:t>Van Wechem</w:t>
      </w:r>
      <w:r w:rsidR="00F81577">
        <w:t xml:space="preserve">, </w:t>
      </w:r>
      <w:r w:rsidR="00F81577" w:rsidRPr="00F81577">
        <w:rPr>
          <w:i/>
          <w:iCs/>
        </w:rPr>
        <w:t>NJB</w:t>
      </w:r>
      <w:r w:rsidR="00F81577">
        <w:t xml:space="preserve"> 2012, par. 879;</w:t>
      </w:r>
      <w:r w:rsidR="00FF1403">
        <w:t xml:space="preserve"> Spanjaard, </w:t>
      </w:r>
      <w:r w:rsidR="00FF1403" w:rsidRPr="00FF1403">
        <w:rPr>
          <w:i/>
          <w:iCs/>
        </w:rPr>
        <w:t>ORP</w:t>
      </w:r>
      <w:r w:rsidR="00FF1403">
        <w:t xml:space="preserve"> 2012</w:t>
      </w:r>
      <w:r w:rsidR="006475F2">
        <w:t xml:space="preserve"> en</w:t>
      </w:r>
      <w:r w:rsidR="00494FCB">
        <w:t xml:space="preserve"> Spanjaard, </w:t>
      </w:r>
      <w:r w:rsidR="00494FCB" w:rsidRPr="00494FCB">
        <w:rPr>
          <w:i/>
          <w:iCs/>
        </w:rPr>
        <w:t>ORP</w:t>
      </w:r>
      <w:r w:rsidR="00494FCB">
        <w:t xml:space="preserve"> 2013.</w:t>
      </w:r>
    </w:p>
  </w:footnote>
  <w:footnote w:id="28">
    <w:p w14:paraId="52396788" w14:textId="2282FFE3" w:rsidR="00AD3654" w:rsidRDefault="00AD3654">
      <w:pPr>
        <w:pStyle w:val="Voetnoottekst"/>
      </w:pPr>
      <w:r>
        <w:rPr>
          <w:rStyle w:val="Voetnootmarkering"/>
        </w:rPr>
        <w:footnoteRef/>
      </w:r>
      <w:r>
        <w:t xml:space="preserve"> </w:t>
      </w:r>
      <w:r w:rsidR="00C627C3">
        <w:t xml:space="preserve">Zippro, </w:t>
      </w:r>
      <w:r w:rsidR="00C627C3" w:rsidRPr="00EA0756">
        <w:rPr>
          <w:i/>
          <w:iCs/>
        </w:rPr>
        <w:t>Mv</w:t>
      </w:r>
      <w:r w:rsidR="00EA0756" w:rsidRPr="00EA0756">
        <w:rPr>
          <w:i/>
          <w:iCs/>
        </w:rPr>
        <w:t>V</w:t>
      </w:r>
      <w:r w:rsidR="00EA0756">
        <w:t xml:space="preserve"> 2023, p. 57. </w:t>
      </w:r>
    </w:p>
  </w:footnote>
  <w:footnote w:id="29">
    <w:p w14:paraId="32869AD8" w14:textId="6F4C6499" w:rsidR="00BF4B39" w:rsidRDefault="00BF4B39">
      <w:pPr>
        <w:pStyle w:val="Voetnoottekst"/>
      </w:pPr>
      <w:r>
        <w:rPr>
          <w:rStyle w:val="Voetnootmarkering"/>
        </w:rPr>
        <w:footnoteRef/>
      </w:r>
      <w:r>
        <w:t xml:space="preserve"> Art. 2 lid 1 </w:t>
      </w:r>
      <w:r w:rsidR="0096774E">
        <w:t>Richtlijn 2000/31/EG (Richtlijn inzake elektronische handel)</w:t>
      </w:r>
      <w:r w:rsidR="002B67C3">
        <w:t xml:space="preserve"> en art. 3:15</w:t>
      </w:r>
      <w:r w:rsidR="00586FF8">
        <w:t xml:space="preserve">d lid 3 BW. </w:t>
      </w:r>
    </w:p>
  </w:footnote>
  <w:footnote w:id="30">
    <w:p w14:paraId="2289C959" w14:textId="73AB4358" w:rsidR="0099703A" w:rsidRDefault="0099703A">
      <w:pPr>
        <w:pStyle w:val="Voetnoottekst"/>
      </w:pPr>
      <w:r>
        <w:rPr>
          <w:rStyle w:val="Voetnootmarkering"/>
        </w:rPr>
        <w:footnoteRef/>
      </w:r>
      <w:r>
        <w:t xml:space="preserve"> </w:t>
      </w:r>
      <w:r w:rsidRPr="0071508E">
        <w:rPr>
          <w:i/>
          <w:iCs/>
        </w:rPr>
        <w:t xml:space="preserve">Kamerstukken II </w:t>
      </w:r>
      <w:r>
        <w:t>20</w:t>
      </w:r>
      <w:r w:rsidR="0071508E">
        <w:t xml:space="preserve">01/02, 28 197, nr. 3, p. 19. </w:t>
      </w:r>
    </w:p>
  </w:footnote>
  <w:footnote w:id="31">
    <w:p w14:paraId="71732665" w14:textId="493FAD39" w:rsidR="00FC5B84" w:rsidRDefault="00FC5B84">
      <w:pPr>
        <w:pStyle w:val="Voetnoottekst"/>
      </w:pPr>
      <w:r>
        <w:rPr>
          <w:rStyle w:val="Voetnootmarkering"/>
        </w:rPr>
        <w:footnoteRef/>
      </w:r>
      <w:r>
        <w:t xml:space="preserve"> </w:t>
      </w:r>
      <w:r w:rsidRPr="004C5994">
        <w:rPr>
          <w:i/>
          <w:iCs/>
        </w:rPr>
        <w:t xml:space="preserve">Kamerstukken </w:t>
      </w:r>
      <w:r w:rsidR="00B1381B" w:rsidRPr="004C5994">
        <w:rPr>
          <w:i/>
          <w:iCs/>
        </w:rPr>
        <w:t>I</w:t>
      </w:r>
      <w:r w:rsidR="00B1381B">
        <w:t xml:space="preserve"> 2003/04, 28 197, C, p. 18 &amp; Rb. Amsterdam </w:t>
      </w:r>
      <w:r w:rsidR="00633D31">
        <w:t xml:space="preserve">27 februari 2013, </w:t>
      </w:r>
      <w:r w:rsidR="00A7628B">
        <w:t xml:space="preserve"> </w:t>
      </w:r>
      <w:r w:rsidR="00633D31">
        <w:t>ECLI:NL:RBAMS:2013</w:t>
      </w:r>
      <w:r w:rsidR="00431E7B">
        <w:t>:BZ5806</w:t>
      </w:r>
      <w:r w:rsidR="0020284D">
        <w:t xml:space="preserve">, r.o. 4.6-4.7. </w:t>
      </w:r>
    </w:p>
  </w:footnote>
  <w:footnote w:id="32">
    <w:p w14:paraId="2A84E780" w14:textId="1CFD4DAE" w:rsidR="00F9117F" w:rsidRPr="00C00713" w:rsidRDefault="00F9117F" w:rsidP="00ED3174">
      <w:pPr>
        <w:tabs>
          <w:tab w:val="left" w:pos="4874"/>
        </w:tabs>
        <w:spacing w:after="0"/>
        <w:rPr>
          <w:color w:val="0D0D0D" w:themeColor="text1" w:themeTint="F2"/>
          <w:sz w:val="20"/>
          <w:szCs w:val="20"/>
        </w:rPr>
      </w:pPr>
      <w:r w:rsidRPr="00C00713">
        <w:rPr>
          <w:rStyle w:val="Voetnootmarkering"/>
          <w:sz w:val="20"/>
          <w:szCs w:val="20"/>
        </w:rPr>
        <w:footnoteRef/>
      </w:r>
      <w:r w:rsidRPr="00C00713">
        <w:rPr>
          <w:sz w:val="20"/>
          <w:szCs w:val="20"/>
        </w:rPr>
        <w:t xml:space="preserve"> </w:t>
      </w:r>
      <w:r w:rsidR="00876097" w:rsidRPr="00C00713">
        <w:rPr>
          <w:color w:val="0D0D0D" w:themeColor="text1" w:themeTint="F2"/>
          <w:sz w:val="20"/>
          <w:szCs w:val="20"/>
        </w:rPr>
        <w:t xml:space="preserve">Van Esch &amp; Bramer, </w:t>
      </w:r>
      <w:r w:rsidR="00876097" w:rsidRPr="00C00713">
        <w:rPr>
          <w:i/>
          <w:iCs/>
          <w:color w:val="0D0D0D" w:themeColor="text1" w:themeTint="F2"/>
          <w:sz w:val="20"/>
          <w:szCs w:val="20"/>
        </w:rPr>
        <w:t>Computerrecht</w:t>
      </w:r>
      <w:r w:rsidR="00876097" w:rsidRPr="00C00713">
        <w:rPr>
          <w:color w:val="0D0D0D" w:themeColor="text1" w:themeTint="F2"/>
          <w:sz w:val="20"/>
          <w:szCs w:val="20"/>
        </w:rPr>
        <w:t xml:space="preserve"> 2000, p. </w:t>
      </w:r>
      <w:r w:rsidR="00C00713" w:rsidRPr="00C00713">
        <w:rPr>
          <w:color w:val="0D0D0D" w:themeColor="text1" w:themeTint="F2"/>
          <w:sz w:val="20"/>
          <w:szCs w:val="20"/>
        </w:rPr>
        <w:t>286.</w:t>
      </w:r>
    </w:p>
  </w:footnote>
  <w:footnote w:id="33">
    <w:p w14:paraId="5859F6A4" w14:textId="63256148" w:rsidR="00517A3D" w:rsidRPr="00517A3D" w:rsidRDefault="00517A3D">
      <w:pPr>
        <w:pStyle w:val="Voetnoottekst"/>
        <w:rPr>
          <w:lang w:val="en-US"/>
        </w:rPr>
      </w:pPr>
      <w:r>
        <w:rPr>
          <w:rStyle w:val="Voetnootmarkering"/>
        </w:rPr>
        <w:footnoteRef/>
      </w:r>
      <w:r w:rsidRPr="00517A3D">
        <w:rPr>
          <w:lang w:val="en-US"/>
        </w:rPr>
        <w:t xml:space="preserve"> HR 11 februari 2011, ECLI:NL:HR:2011:BO7108 (First D</w:t>
      </w:r>
      <w:r>
        <w:rPr>
          <w:lang w:val="en-US"/>
        </w:rPr>
        <w:t xml:space="preserve">ata/Attingo), r.o. 3.4.2. </w:t>
      </w:r>
    </w:p>
  </w:footnote>
  <w:footnote w:id="34">
    <w:p w14:paraId="1DFBADDC" w14:textId="22A3A274" w:rsidR="003F1AC4" w:rsidRDefault="003F1AC4">
      <w:pPr>
        <w:pStyle w:val="Voetnoottekst"/>
      </w:pPr>
      <w:r>
        <w:rPr>
          <w:rStyle w:val="Voetnootmarkering"/>
        </w:rPr>
        <w:footnoteRef/>
      </w:r>
      <w:r>
        <w:t xml:space="preserve"> </w:t>
      </w:r>
      <w:r w:rsidR="00410F79">
        <w:t>Martius 2008, p. 128-129</w:t>
      </w:r>
      <w:r w:rsidR="00493590">
        <w:t xml:space="preserve"> &amp; Loos, </w:t>
      </w:r>
      <w:r w:rsidR="00493590" w:rsidRPr="006949B2">
        <w:rPr>
          <w:i/>
          <w:iCs/>
        </w:rPr>
        <w:t>Handboek Consumentenrecht</w:t>
      </w:r>
      <w:r w:rsidR="00493590">
        <w:t xml:space="preserve"> 20</w:t>
      </w:r>
      <w:r w:rsidR="00AD5A3D">
        <w:t>20</w:t>
      </w:r>
      <w:r w:rsidR="00493590">
        <w:t xml:space="preserve">, p. </w:t>
      </w:r>
      <w:r w:rsidR="006949B2">
        <w:t xml:space="preserve">87. </w:t>
      </w:r>
    </w:p>
  </w:footnote>
  <w:footnote w:id="35">
    <w:p w14:paraId="21002677" w14:textId="2E167A54" w:rsidR="00C1114A" w:rsidRPr="004763E2" w:rsidRDefault="00C1114A">
      <w:pPr>
        <w:pStyle w:val="Voetnoottekst"/>
      </w:pPr>
      <w:r>
        <w:rPr>
          <w:rStyle w:val="Voetnootmarkering"/>
        </w:rPr>
        <w:footnoteRef/>
      </w:r>
      <w:r w:rsidRPr="004763E2">
        <w:t xml:space="preserve"> </w:t>
      </w:r>
      <w:r w:rsidR="002E72FC" w:rsidRPr="004763E2">
        <w:t>Martius</w:t>
      </w:r>
      <w:r w:rsidR="00FC67DC" w:rsidRPr="004763E2">
        <w:t xml:space="preserve"> </w:t>
      </w:r>
      <w:r w:rsidR="002E72FC" w:rsidRPr="004763E2">
        <w:t>2006.</w:t>
      </w:r>
    </w:p>
  </w:footnote>
  <w:footnote w:id="36">
    <w:p w14:paraId="2E71D743" w14:textId="6E35304C" w:rsidR="001C485C" w:rsidRDefault="001C485C">
      <w:pPr>
        <w:pStyle w:val="Voetnoottekst"/>
      </w:pPr>
      <w:r>
        <w:rPr>
          <w:rStyle w:val="Voetnootmarkering"/>
        </w:rPr>
        <w:footnoteRef/>
      </w:r>
      <w:r>
        <w:t xml:space="preserve"> </w:t>
      </w:r>
      <w:r w:rsidR="00FB070B" w:rsidRPr="00550C3B">
        <w:rPr>
          <w:i/>
          <w:iCs/>
        </w:rPr>
        <w:t>Kamerstukken II</w:t>
      </w:r>
      <w:r w:rsidR="00FB070B">
        <w:t xml:space="preserve"> 2001/02, 28 </w:t>
      </w:r>
      <w:r w:rsidR="00550C3B">
        <w:t xml:space="preserve">197, nr. 3, p. 59. </w:t>
      </w:r>
    </w:p>
  </w:footnote>
  <w:footnote w:id="37">
    <w:p w14:paraId="177F08A6" w14:textId="740E3D28" w:rsidR="003341D3" w:rsidRDefault="003341D3">
      <w:pPr>
        <w:pStyle w:val="Voetnoottekst"/>
      </w:pPr>
      <w:r>
        <w:rPr>
          <w:rStyle w:val="Voetnootmarkering"/>
        </w:rPr>
        <w:footnoteRef/>
      </w:r>
      <w:r>
        <w:t xml:space="preserve"> </w:t>
      </w:r>
      <w:r w:rsidR="00073795">
        <w:t xml:space="preserve">Schaub, </w:t>
      </w:r>
      <w:r w:rsidR="00073795" w:rsidRPr="00C922FA">
        <w:rPr>
          <w:i/>
          <w:iCs/>
        </w:rPr>
        <w:t>Algemene voorwaarden</w:t>
      </w:r>
      <w:r w:rsidR="00073795">
        <w:t xml:space="preserve"> 2017, aant. </w:t>
      </w:r>
      <w:r w:rsidR="00C922FA">
        <w:t>32.5.</w:t>
      </w:r>
    </w:p>
  </w:footnote>
  <w:footnote w:id="38">
    <w:p w14:paraId="268651A1" w14:textId="5BC8433C" w:rsidR="003E3090" w:rsidRDefault="003E3090">
      <w:pPr>
        <w:pStyle w:val="Voetnoottekst"/>
      </w:pPr>
      <w:r>
        <w:rPr>
          <w:rStyle w:val="Voetnootmarkering"/>
        </w:rPr>
        <w:footnoteRef/>
      </w:r>
      <w:r>
        <w:t xml:space="preserve"> </w:t>
      </w:r>
      <w:r w:rsidRPr="00935BC3">
        <w:rPr>
          <w:i/>
          <w:iCs/>
        </w:rPr>
        <w:t>Kamerstukken II</w:t>
      </w:r>
      <w:r>
        <w:t xml:space="preserve"> </w:t>
      </w:r>
      <w:r w:rsidR="0044233E">
        <w:t xml:space="preserve">2001/02, 28 197, nr. 3, p. 59. </w:t>
      </w:r>
    </w:p>
  </w:footnote>
  <w:footnote w:id="39">
    <w:p w14:paraId="48A6C9AA" w14:textId="0DDBDCD4" w:rsidR="00511ED0" w:rsidRDefault="00511ED0">
      <w:pPr>
        <w:pStyle w:val="Voetnoottekst"/>
      </w:pPr>
      <w:r>
        <w:rPr>
          <w:rStyle w:val="Voetnootmarkering"/>
        </w:rPr>
        <w:footnoteRef/>
      </w:r>
      <w:r>
        <w:t xml:space="preserve"> </w:t>
      </w:r>
      <w:r w:rsidR="00FE4768" w:rsidRPr="003546D9">
        <w:rPr>
          <w:i/>
          <w:iCs/>
        </w:rPr>
        <w:t>Kamerstukken II</w:t>
      </w:r>
      <w:r w:rsidR="00FE4768">
        <w:t xml:space="preserve"> 2007/</w:t>
      </w:r>
      <w:r w:rsidR="003546D9">
        <w:t xml:space="preserve">08, 31 358, nr. 3, p. 9-10. </w:t>
      </w:r>
    </w:p>
  </w:footnote>
  <w:footnote w:id="40">
    <w:p w14:paraId="055CD39C" w14:textId="2327EA93" w:rsidR="007A49C1" w:rsidRDefault="007A49C1">
      <w:pPr>
        <w:pStyle w:val="Voetnoottekst"/>
      </w:pPr>
      <w:r>
        <w:rPr>
          <w:rStyle w:val="Voetnootmarkering"/>
        </w:rPr>
        <w:footnoteRef/>
      </w:r>
      <w:r>
        <w:t xml:space="preserve"> </w:t>
      </w:r>
      <w:r w:rsidR="00F87724">
        <w:t>Hijma</w:t>
      </w:r>
      <w:r w:rsidR="00485C39">
        <w:t xml:space="preserve"> </w:t>
      </w:r>
      <w:r w:rsidR="007946F5">
        <w:t>2016</w:t>
      </w:r>
      <w:r w:rsidR="003F1385">
        <w:t xml:space="preserve">, aant. </w:t>
      </w:r>
      <w:r w:rsidR="007946F5">
        <w:t xml:space="preserve">42. </w:t>
      </w:r>
    </w:p>
  </w:footnote>
  <w:footnote w:id="41">
    <w:p w14:paraId="0D5F4890" w14:textId="713A01B7" w:rsidR="005251F1" w:rsidRDefault="005251F1">
      <w:pPr>
        <w:pStyle w:val="Voetnoottekst"/>
      </w:pPr>
      <w:r>
        <w:rPr>
          <w:rStyle w:val="Voetnootmarkering"/>
        </w:rPr>
        <w:footnoteRef/>
      </w:r>
      <w:r>
        <w:t xml:space="preserve"> Rb. </w:t>
      </w:r>
      <w:r w:rsidR="00792464">
        <w:t xml:space="preserve">Nijmegen (sector kanton) 23 januari 1998, </w:t>
      </w:r>
      <w:r w:rsidR="007D15C1">
        <w:t xml:space="preserve">NJK 1998 en </w:t>
      </w:r>
      <w:r w:rsidR="0067774F">
        <w:t xml:space="preserve">Willems, </w:t>
      </w:r>
      <w:r w:rsidR="0067774F" w:rsidRPr="0067774F">
        <w:rPr>
          <w:i/>
          <w:iCs/>
        </w:rPr>
        <w:t>Contracteren</w:t>
      </w:r>
      <w:r w:rsidR="0067774F">
        <w:t xml:space="preserve"> 2013, p.</w:t>
      </w:r>
      <w:r w:rsidR="00F22873">
        <w:t xml:space="preserve"> 65. </w:t>
      </w:r>
    </w:p>
  </w:footnote>
  <w:footnote w:id="42">
    <w:p w14:paraId="5F942AB7" w14:textId="44950CAD" w:rsidR="00A63EE4" w:rsidRDefault="00A63EE4">
      <w:pPr>
        <w:pStyle w:val="Voetnoottekst"/>
      </w:pPr>
      <w:r>
        <w:rPr>
          <w:rStyle w:val="Voetnootmarkering"/>
        </w:rPr>
        <w:footnoteRef/>
      </w:r>
      <w:r>
        <w:t xml:space="preserve"> Hijma 2016</w:t>
      </w:r>
      <w:r w:rsidR="003F1385">
        <w:t xml:space="preserve">, aant. </w:t>
      </w:r>
      <w:r>
        <w:t>42.</w:t>
      </w:r>
    </w:p>
  </w:footnote>
  <w:footnote w:id="43">
    <w:p w14:paraId="073A3DC9" w14:textId="1A5A7952" w:rsidR="007478F7" w:rsidRDefault="007478F7">
      <w:pPr>
        <w:pStyle w:val="Voetnoottekst"/>
      </w:pPr>
      <w:r>
        <w:rPr>
          <w:rStyle w:val="Voetnootmarkering"/>
        </w:rPr>
        <w:footnoteRef/>
      </w:r>
      <w:r>
        <w:t xml:space="preserve"> </w:t>
      </w:r>
      <w:r w:rsidR="00325C3E">
        <w:t xml:space="preserve">Busch, </w:t>
      </w:r>
      <w:r w:rsidR="00611DD4" w:rsidRPr="000D69B5">
        <w:rPr>
          <w:i/>
          <w:iCs/>
        </w:rPr>
        <w:t>AA</w:t>
      </w:r>
      <w:r w:rsidR="00611DD4">
        <w:t xml:space="preserve"> 2024</w:t>
      </w:r>
      <w:r w:rsidR="000D69B5">
        <w:t xml:space="preserve">, p. 449-450. </w:t>
      </w:r>
    </w:p>
  </w:footnote>
  <w:footnote w:id="44">
    <w:p w14:paraId="6DC34ED7" w14:textId="77777777" w:rsidR="00F277FF" w:rsidRPr="00F277FF" w:rsidRDefault="00F277FF" w:rsidP="00F277FF">
      <w:pPr>
        <w:pStyle w:val="Voetnoottekst"/>
      </w:pPr>
      <w:r>
        <w:rPr>
          <w:rStyle w:val="Voetnootmarkering"/>
        </w:rPr>
        <w:footnoteRef/>
      </w:r>
      <w:r w:rsidRPr="00F277FF">
        <w:t xml:space="preserve"> </w:t>
      </w:r>
      <w:r w:rsidRPr="00F277FF">
        <w:rPr>
          <w:i/>
          <w:iCs/>
        </w:rPr>
        <w:t>Kamerstukken II</w:t>
      </w:r>
      <w:r w:rsidRPr="00F277FF">
        <w:t xml:space="preserve"> 2008/09, 31 358, nr. 7, p. 6. </w:t>
      </w:r>
    </w:p>
  </w:footnote>
  <w:footnote w:id="45">
    <w:p w14:paraId="2E5CC56D" w14:textId="4B045C1F" w:rsidR="006173C9" w:rsidRDefault="006173C9">
      <w:pPr>
        <w:pStyle w:val="Voetnoottekst"/>
      </w:pPr>
      <w:r>
        <w:rPr>
          <w:rStyle w:val="Voetnootmarkering"/>
        </w:rPr>
        <w:footnoteRef/>
      </w:r>
      <w:r>
        <w:t xml:space="preserve"> </w:t>
      </w:r>
      <w:r w:rsidRPr="00935BC3">
        <w:rPr>
          <w:i/>
          <w:iCs/>
        </w:rPr>
        <w:t>Kamerstukken II</w:t>
      </w:r>
      <w:r w:rsidR="006B2529">
        <w:t xml:space="preserve"> 2007/08 31 358</w:t>
      </w:r>
      <w:r w:rsidR="00903155">
        <w:t xml:space="preserve">, nr. 3 onder art. 3:234 BW. </w:t>
      </w:r>
    </w:p>
  </w:footnote>
  <w:footnote w:id="46">
    <w:p w14:paraId="1492E761" w14:textId="77777777" w:rsidR="006D060D" w:rsidRDefault="006D060D" w:rsidP="006D060D">
      <w:pPr>
        <w:pStyle w:val="Voetnoottekst"/>
      </w:pPr>
      <w:r>
        <w:rPr>
          <w:rStyle w:val="Voetnootmarkering"/>
        </w:rPr>
        <w:footnoteRef/>
      </w:r>
      <w:r>
        <w:t xml:space="preserve"> Schaub, </w:t>
      </w:r>
      <w:r w:rsidRPr="00F934ED">
        <w:rPr>
          <w:i/>
          <w:iCs/>
        </w:rPr>
        <w:t>NTBR</w:t>
      </w:r>
      <w:r>
        <w:t xml:space="preserve"> 2013, p. 4.</w:t>
      </w:r>
    </w:p>
  </w:footnote>
  <w:footnote w:id="47">
    <w:p w14:paraId="0298621D" w14:textId="72B401AD" w:rsidR="00745A4A" w:rsidRDefault="00745A4A">
      <w:pPr>
        <w:pStyle w:val="Voetnoottekst"/>
      </w:pPr>
      <w:r>
        <w:rPr>
          <w:rStyle w:val="Voetnootmarkering"/>
        </w:rPr>
        <w:footnoteRef/>
      </w:r>
      <w:r>
        <w:t xml:space="preserve"> </w:t>
      </w:r>
      <w:r w:rsidRPr="00935BC3">
        <w:rPr>
          <w:i/>
          <w:iCs/>
        </w:rPr>
        <w:t>Kamerstukken</w:t>
      </w:r>
      <w:r w:rsidR="00AE7F5A" w:rsidRPr="00935BC3">
        <w:rPr>
          <w:i/>
          <w:iCs/>
        </w:rPr>
        <w:t xml:space="preserve"> II</w:t>
      </w:r>
      <w:r w:rsidR="00AE7F5A">
        <w:t xml:space="preserve"> 2007/08, 31 358, nr. 3, p. </w:t>
      </w:r>
      <w:r w:rsidR="00527579">
        <w:t xml:space="preserve">2 &amp; </w:t>
      </w:r>
      <w:r w:rsidR="00527579" w:rsidRPr="00057189">
        <w:rPr>
          <w:i/>
          <w:iCs/>
        </w:rPr>
        <w:t>Kamerstukken I</w:t>
      </w:r>
      <w:r w:rsidR="00527579">
        <w:t xml:space="preserve"> 2008/09, 31 358, C, p. </w:t>
      </w:r>
      <w:r w:rsidR="00AF3F43">
        <w:t>10</w:t>
      </w:r>
      <w:r w:rsidR="00527579">
        <w:t xml:space="preserve">. </w:t>
      </w:r>
    </w:p>
  </w:footnote>
  <w:footnote w:id="48">
    <w:p w14:paraId="1F18B967" w14:textId="0DA09E1D" w:rsidR="00A72B35" w:rsidRDefault="00A72B35">
      <w:pPr>
        <w:pStyle w:val="Voetnoottekst"/>
      </w:pPr>
      <w:r>
        <w:rPr>
          <w:rStyle w:val="Voetnootmarkering"/>
        </w:rPr>
        <w:footnoteRef/>
      </w:r>
      <w:r>
        <w:t xml:space="preserve"> In die zin ook </w:t>
      </w:r>
      <w:r w:rsidR="00D425AA">
        <w:t xml:space="preserve">Van Wechem, </w:t>
      </w:r>
      <w:r w:rsidR="00D425AA" w:rsidRPr="00D425AA">
        <w:rPr>
          <w:i/>
          <w:iCs/>
        </w:rPr>
        <w:t>Contracteren</w:t>
      </w:r>
      <w:r w:rsidR="00D425AA">
        <w:t xml:space="preserve"> 2010, p. 3-4</w:t>
      </w:r>
      <w:r w:rsidR="007920BB">
        <w:t xml:space="preserve"> &amp;</w:t>
      </w:r>
      <w:r w:rsidR="00D425AA">
        <w:t xml:space="preserve"> </w:t>
      </w:r>
      <w:r w:rsidR="004B6B24">
        <w:t xml:space="preserve">Schaub, </w:t>
      </w:r>
      <w:r w:rsidR="004B6B24" w:rsidRPr="0096235F">
        <w:rPr>
          <w:i/>
          <w:iCs/>
        </w:rPr>
        <w:t>NTBR</w:t>
      </w:r>
      <w:r w:rsidR="004B6B24">
        <w:t xml:space="preserve"> 2013</w:t>
      </w:r>
      <w:r w:rsidR="007920BB">
        <w:t xml:space="preserve">, p. 4. </w:t>
      </w:r>
    </w:p>
  </w:footnote>
  <w:footnote w:id="49">
    <w:p w14:paraId="3656A679" w14:textId="4A869FCD" w:rsidR="00025792" w:rsidRPr="004763E2" w:rsidRDefault="00025792">
      <w:pPr>
        <w:pStyle w:val="Voetnoottekst"/>
        <w:rPr>
          <w:lang w:val="en-US"/>
        </w:rPr>
      </w:pPr>
      <w:r>
        <w:rPr>
          <w:rStyle w:val="Voetnootmarkering"/>
        </w:rPr>
        <w:footnoteRef/>
      </w:r>
      <w:r w:rsidRPr="004763E2">
        <w:rPr>
          <w:lang w:val="en-US"/>
        </w:rPr>
        <w:t xml:space="preserve"> Zippro, </w:t>
      </w:r>
      <w:r w:rsidRPr="00396AEF">
        <w:rPr>
          <w:i/>
          <w:iCs/>
          <w:lang w:val="en-US"/>
        </w:rPr>
        <w:t>MvV</w:t>
      </w:r>
      <w:r w:rsidRPr="004763E2">
        <w:rPr>
          <w:lang w:val="en-US"/>
        </w:rPr>
        <w:t>, p.</w:t>
      </w:r>
      <w:r w:rsidR="00302188" w:rsidRPr="004763E2">
        <w:rPr>
          <w:lang w:val="en-US"/>
        </w:rPr>
        <w:t xml:space="preserve"> 58-59. </w:t>
      </w:r>
    </w:p>
  </w:footnote>
  <w:footnote w:id="50">
    <w:p w14:paraId="133D9831" w14:textId="4F8AD51A" w:rsidR="00332CA2" w:rsidRDefault="00332CA2">
      <w:pPr>
        <w:pStyle w:val="Voetnoottekst"/>
      </w:pPr>
      <w:r>
        <w:rPr>
          <w:rStyle w:val="Voetnootmarkering"/>
        </w:rPr>
        <w:footnoteRef/>
      </w:r>
      <w:r>
        <w:t xml:space="preserve"> Schaub, </w:t>
      </w:r>
      <w:r w:rsidRPr="00483DDF">
        <w:rPr>
          <w:i/>
          <w:iCs/>
        </w:rPr>
        <w:t>NTBR</w:t>
      </w:r>
      <w:r>
        <w:t xml:space="preserve"> 2013 en ook De Graaf, </w:t>
      </w:r>
      <w:r w:rsidRPr="00483DDF">
        <w:rPr>
          <w:i/>
          <w:iCs/>
        </w:rPr>
        <w:t>NTBR</w:t>
      </w:r>
      <w:r>
        <w:t xml:space="preserve"> 2018; Van Wechem, </w:t>
      </w:r>
      <w:r w:rsidRPr="00F81577">
        <w:rPr>
          <w:i/>
          <w:iCs/>
        </w:rPr>
        <w:t>NJB</w:t>
      </w:r>
      <w:r>
        <w:t xml:space="preserve"> 2012, par. 879; Spanjaard, </w:t>
      </w:r>
      <w:r w:rsidRPr="00FF1403">
        <w:rPr>
          <w:i/>
          <w:iCs/>
        </w:rPr>
        <w:t>ORP</w:t>
      </w:r>
      <w:r>
        <w:t xml:space="preserve"> 2012 en Spanjaard, </w:t>
      </w:r>
      <w:r w:rsidRPr="00494FCB">
        <w:rPr>
          <w:i/>
          <w:iCs/>
        </w:rPr>
        <w:t>ORP</w:t>
      </w:r>
      <w:r>
        <w:t xml:space="preserve"> 2013.</w:t>
      </w:r>
    </w:p>
  </w:footnote>
  <w:footnote w:id="51">
    <w:p w14:paraId="5338E800" w14:textId="1246E05F" w:rsidR="00D7454F" w:rsidRPr="00332CA2" w:rsidRDefault="00D7454F">
      <w:pPr>
        <w:pStyle w:val="Voetnoottekst"/>
      </w:pPr>
      <w:r>
        <w:rPr>
          <w:rStyle w:val="Voetnootmarkering"/>
        </w:rPr>
        <w:footnoteRef/>
      </w:r>
      <w:r w:rsidRPr="00332CA2">
        <w:t xml:space="preserve"> Art. 26 VWEU.</w:t>
      </w:r>
    </w:p>
  </w:footnote>
  <w:footnote w:id="52">
    <w:p w14:paraId="71E4C8C3" w14:textId="1C606E54" w:rsidR="00D7454F" w:rsidRDefault="00D7454F">
      <w:pPr>
        <w:pStyle w:val="Voetnoottekst"/>
      </w:pPr>
      <w:r>
        <w:rPr>
          <w:rStyle w:val="Voetnootmarkering"/>
        </w:rPr>
        <w:footnoteRef/>
      </w:r>
      <w:r>
        <w:t xml:space="preserve"> Art. 56 VWEU.</w:t>
      </w:r>
    </w:p>
  </w:footnote>
  <w:footnote w:id="53">
    <w:p w14:paraId="734075EC" w14:textId="38E98242" w:rsidR="00D7454F" w:rsidRDefault="00D7454F">
      <w:pPr>
        <w:pStyle w:val="Voetnoottekst"/>
      </w:pPr>
      <w:r>
        <w:rPr>
          <w:rStyle w:val="Voetnootmarkering"/>
        </w:rPr>
        <w:footnoteRef/>
      </w:r>
      <w:r>
        <w:t xml:space="preserve"> Art. 49 VWEU.</w:t>
      </w:r>
    </w:p>
  </w:footnote>
  <w:footnote w:id="54">
    <w:p w14:paraId="78C91F83" w14:textId="433B28FB" w:rsidR="00005029" w:rsidRDefault="00005029">
      <w:pPr>
        <w:pStyle w:val="Voetnoottekst"/>
      </w:pPr>
      <w:r>
        <w:rPr>
          <w:rStyle w:val="Voetnootmarkering"/>
        </w:rPr>
        <w:footnoteRef/>
      </w:r>
      <w:r>
        <w:t xml:space="preserve"> </w:t>
      </w:r>
      <w:r w:rsidRPr="00600787">
        <w:rPr>
          <w:i/>
          <w:iCs/>
        </w:rPr>
        <w:t>Kamerstukken II</w:t>
      </w:r>
      <w:r w:rsidR="00B24461">
        <w:t xml:space="preserve"> 2007/08, 31 579</w:t>
      </w:r>
      <w:r w:rsidR="0064570D">
        <w:t xml:space="preserve">, </w:t>
      </w:r>
      <w:r w:rsidR="00600787">
        <w:t xml:space="preserve">nr. </w:t>
      </w:r>
      <w:r w:rsidR="0064570D">
        <w:t>3, § 1-2.</w:t>
      </w:r>
    </w:p>
  </w:footnote>
  <w:footnote w:id="55">
    <w:p w14:paraId="5BA8C4C6" w14:textId="3554EEB1" w:rsidR="00570DCE" w:rsidRDefault="00570DCE">
      <w:pPr>
        <w:pStyle w:val="Voetnoottekst"/>
      </w:pPr>
      <w:r>
        <w:rPr>
          <w:rStyle w:val="Voetnootmarkering"/>
        </w:rPr>
        <w:footnoteRef/>
      </w:r>
      <w:r>
        <w:t xml:space="preserve"> </w:t>
      </w:r>
      <w:r w:rsidR="00E12865" w:rsidRPr="00E12865">
        <w:rPr>
          <w:i/>
          <w:iCs/>
        </w:rPr>
        <w:t>Kamerstukken</w:t>
      </w:r>
      <w:r w:rsidR="00EE7AD8" w:rsidRPr="00E12865">
        <w:rPr>
          <w:i/>
          <w:iCs/>
        </w:rPr>
        <w:t xml:space="preserve"> II</w:t>
      </w:r>
      <w:r w:rsidR="00EE7AD8">
        <w:t xml:space="preserve"> 2007/08, 31 </w:t>
      </w:r>
      <w:r w:rsidR="001F3F29">
        <w:t>579, nr. 3</w:t>
      </w:r>
      <w:r w:rsidR="00600787">
        <w:t>, §1-2.</w:t>
      </w:r>
    </w:p>
  </w:footnote>
  <w:footnote w:id="56">
    <w:p w14:paraId="7BE78072" w14:textId="15BB979C" w:rsidR="009E500C" w:rsidRDefault="009E500C">
      <w:pPr>
        <w:pStyle w:val="Voetnoottekst"/>
      </w:pPr>
      <w:r>
        <w:rPr>
          <w:rStyle w:val="Voetnootmarkering"/>
        </w:rPr>
        <w:footnoteRef/>
      </w:r>
      <w:r>
        <w:t xml:space="preserve"> HR 2 juni 2023, ECLI:NL:HR:202</w:t>
      </w:r>
      <w:r w:rsidR="00167325">
        <w:t>3:835</w:t>
      </w:r>
      <w:r w:rsidR="008758A6">
        <w:t>, r.o. 3.1.</w:t>
      </w:r>
    </w:p>
  </w:footnote>
  <w:footnote w:id="57">
    <w:p w14:paraId="452A6CD5" w14:textId="1BD303ED" w:rsidR="0098281B" w:rsidRDefault="0098281B">
      <w:pPr>
        <w:pStyle w:val="Voetnoottekst"/>
      </w:pPr>
      <w:r>
        <w:rPr>
          <w:rStyle w:val="Voetnootmarkering"/>
        </w:rPr>
        <w:footnoteRef/>
      </w:r>
      <w:r>
        <w:t xml:space="preserve"> HR 2 juni 2023, ECLI:NL:HR:2023:835, r.o. 3.1.</w:t>
      </w:r>
    </w:p>
  </w:footnote>
  <w:footnote w:id="58">
    <w:p w14:paraId="648F8673" w14:textId="40952447" w:rsidR="004A1D8C" w:rsidRDefault="004A1D8C">
      <w:pPr>
        <w:pStyle w:val="Voetnoottekst"/>
      </w:pPr>
      <w:r>
        <w:rPr>
          <w:rStyle w:val="Voetnootmarkering"/>
        </w:rPr>
        <w:footnoteRef/>
      </w:r>
      <w:r>
        <w:t xml:space="preserve"> </w:t>
      </w:r>
      <w:r w:rsidR="00C64D1F">
        <w:t xml:space="preserve">De vries 2016, nr. </w:t>
      </w:r>
      <w:r w:rsidR="00453DA8">
        <w:t>96;</w:t>
      </w:r>
      <w:r w:rsidR="00B85826">
        <w:t xml:space="preserve"> </w:t>
      </w:r>
      <w:r w:rsidR="00116F7A">
        <w:t>HvJE</w:t>
      </w:r>
      <w:r w:rsidR="00AB5B4F">
        <w:t xml:space="preserve">U </w:t>
      </w:r>
      <w:r w:rsidR="00116F7A">
        <w:t>11 april 2000, ECLI:</w:t>
      </w:r>
      <w:r w:rsidR="00F77C42">
        <w:t>EU:C:2000:199</w:t>
      </w:r>
      <w:r w:rsidR="00625C01">
        <w:t xml:space="preserve"> (</w:t>
      </w:r>
      <w:r w:rsidR="00625C01" w:rsidRPr="00625C01">
        <w:rPr>
          <w:i/>
          <w:iCs/>
        </w:rPr>
        <w:t>Deliège</w:t>
      </w:r>
      <w:r w:rsidR="00625C01">
        <w:t>)</w:t>
      </w:r>
      <w:r w:rsidR="006B1C31">
        <w:t>, r.o. 55</w:t>
      </w:r>
      <w:r w:rsidR="0068425D">
        <w:t xml:space="preserve"> &amp; HR 2 juni 2023, ECLI:NL:HR:2023:835, r.o. </w:t>
      </w:r>
      <w:r w:rsidR="00337C3E">
        <w:t xml:space="preserve">3.1.2. </w:t>
      </w:r>
    </w:p>
  </w:footnote>
  <w:footnote w:id="59">
    <w:p w14:paraId="4FE63DDF" w14:textId="77777777" w:rsidR="00D639CB" w:rsidRDefault="00D639CB" w:rsidP="00D639CB">
      <w:pPr>
        <w:pStyle w:val="Voetnoottekst"/>
      </w:pPr>
      <w:r>
        <w:rPr>
          <w:rStyle w:val="Voetnootmarkering"/>
        </w:rPr>
        <w:footnoteRef/>
      </w:r>
      <w:r>
        <w:t xml:space="preserve"> Inleidende overwegingen punten 7, 33 en 34 Richtlijn 2006/23/EG.</w:t>
      </w:r>
    </w:p>
  </w:footnote>
  <w:footnote w:id="60">
    <w:p w14:paraId="410CE63E" w14:textId="2D650BD3" w:rsidR="00CC3B73" w:rsidRPr="00F106C7" w:rsidRDefault="00CC3B73">
      <w:pPr>
        <w:pStyle w:val="Voetnoottekst"/>
      </w:pPr>
      <w:r>
        <w:rPr>
          <w:rStyle w:val="Voetnootmarkering"/>
        </w:rPr>
        <w:footnoteRef/>
      </w:r>
      <w:r>
        <w:t xml:space="preserve"> Spanjaard, </w:t>
      </w:r>
      <w:r w:rsidRPr="008212DE">
        <w:rPr>
          <w:i/>
          <w:iCs/>
        </w:rPr>
        <w:t>GS Verbintenissenrecht</w:t>
      </w:r>
      <w:r>
        <w:t xml:space="preserve">, </w:t>
      </w:r>
      <w:r w:rsidR="00485C39">
        <w:t xml:space="preserve">art. 6:230a BW, aant. </w:t>
      </w:r>
      <w:r w:rsidR="00485C39" w:rsidRPr="00F106C7">
        <w:t>5.</w:t>
      </w:r>
    </w:p>
  </w:footnote>
  <w:footnote w:id="61">
    <w:p w14:paraId="5A3E2DDE" w14:textId="5EC1C2D6" w:rsidR="00443185" w:rsidRPr="00F106C7" w:rsidRDefault="00443185">
      <w:pPr>
        <w:pStyle w:val="Voetnoottekst"/>
      </w:pPr>
      <w:r>
        <w:rPr>
          <w:rStyle w:val="Voetnootmarkering"/>
        </w:rPr>
        <w:footnoteRef/>
      </w:r>
      <w:r w:rsidRPr="00F106C7">
        <w:t xml:space="preserve"> De Vries</w:t>
      </w:r>
      <w:r w:rsidR="005E0311" w:rsidRPr="00F106C7">
        <w:t xml:space="preserve"> 2016, nr. 96. </w:t>
      </w:r>
    </w:p>
  </w:footnote>
  <w:footnote w:id="62">
    <w:p w14:paraId="10E1699A" w14:textId="32F60779" w:rsidR="00D41A87" w:rsidRPr="00F106C7" w:rsidRDefault="00D41A87">
      <w:pPr>
        <w:pStyle w:val="Voetnoottekst"/>
      </w:pPr>
      <w:r>
        <w:rPr>
          <w:rStyle w:val="Voetnootmarkering"/>
        </w:rPr>
        <w:footnoteRef/>
      </w:r>
      <w:r w:rsidRPr="00F106C7">
        <w:t xml:space="preserve"> ABRvS 30 april 2014, ECLI:NL:RVS:</w:t>
      </w:r>
      <w:r w:rsidR="00983F7C" w:rsidRPr="00F106C7">
        <w:t>2014:1561 &amp; ABRvS 30 juli 2014, ECLI:NL:RVS:2014:</w:t>
      </w:r>
      <w:r w:rsidR="0038765B" w:rsidRPr="00F106C7">
        <w:t xml:space="preserve">2857. </w:t>
      </w:r>
    </w:p>
  </w:footnote>
  <w:footnote w:id="63">
    <w:p w14:paraId="495BC93D" w14:textId="67697002" w:rsidR="00552666" w:rsidRDefault="00552666">
      <w:pPr>
        <w:pStyle w:val="Voetnoottekst"/>
      </w:pPr>
      <w:r>
        <w:rPr>
          <w:rStyle w:val="Voetnootmarkering"/>
        </w:rPr>
        <w:footnoteRef/>
      </w:r>
      <w:r>
        <w:t xml:space="preserve"> Loos 2024, p. 135. </w:t>
      </w:r>
    </w:p>
  </w:footnote>
  <w:footnote w:id="64">
    <w:p w14:paraId="1AFE8110" w14:textId="36839C14" w:rsidR="004E3295" w:rsidRDefault="004E3295">
      <w:pPr>
        <w:pStyle w:val="Voetnoottekst"/>
      </w:pPr>
      <w:r>
        <w:rPr>
          <w:rStyle w:val="Voetnootmarkering"/>
        </w:rPr>
        <w:footnoteRef/>
      </w:r>
      <w:r>
        <w:t xml:space="preserve"> Europese Commissie, </w:t>
      </w:r>
      <w:r w:rsidRPr="0021364C">
        <w:rPr>
          <w:i/>
          <w:iCs/>
        </w:rPr>
        <w:t xml:space="preserve">Het waarschuwingsmechanisme </w:t>
      </w:r>
      <w:r w:rsidR="0021364C" w:rsidRPr="0021364C">
        <w:rPr>
          <w:i/>
          <w:iCs/>
        </w:rPr>
        <w:t>en het informatiesysteem Interne Markt (IMI)</w:t>
      </w:r>
      <w:r w:rsidR="0021364C">
        <w:rPr>
          <w:i/>
          <w:iCs/>
        </w:rPr>
        <w:t>,</w:t>
      </w:r>
      <w:r w:rsidR="0021364C" w:rsidRPr="0021364C">
        <w:rPr>
          <w:i/>
          <w:iCs/>
        </w:rPr>
        <w:t xml:space="preserve"> </w:t>
      </w:r>
      <w:r w:rsidR="0021364C">
        <w:t>(</w:t>
      </w:r>
      <w:r w:rsidR="0021364C" w:rsidRPr="00536478">
        <w:t>https://ec.europa.eu/internal_market/imi-net/_docs/library/alerts_nl.pdf</w:t>
      </w:r>
      <w:r w:rsidR="0021364C">
        <w:t xml:space="preserve">), p. 6, 10 </w:t>
      </w:r>
      <w:r w:rsidR="00856600">
        <w:t>(§2.1.1)</w:t>
      </w:r>
      <w:r w:rsidR="0021364C">
        <w:t>)</w:t>
      </w:r>
      <w:r w:rsidR="00F414F8">
        <w:t xml:space="preserve"> &amp; A-G S</w:t>
      </w:r>
      <w:r w:rsidR="00024EE2">
        <w:t>z</w:t>
      </w:r>
      <w:r w:rsidR="00F414F8">
        <w:t>pu</w:t>
      </w:r>
      <w:r w:rsidR="00BC2CBD">
        <w:t>nar in zijn conclusie (§71) voor HvJ EU 30 januari 2018, ECLI:EU:C:2018:44.</w:t>
      </w:r>
    </w:p>
  </w:footnote>
  <w:footnote w:id="65">
    <w:p w14:paraId="7E771255" w14:textId="34758FE9" w:rsidR="00306481" w:rsidRDefault="00306481">
      <w:pPr>
        <w:pStyle w:val="Voetnoottekst"/>
      </w:pPr>
      <w:r>
        <w:rPr>
          <w:rStyle w:val="Voetnootmarkering"/>
        </w:rPr>
        <w:footnoteRef/>
      </w:r>
      <w:r>
        <w:t xml:space="preserve"> De vries 2016, nr. 96. </w:t>
      </w:r>
    </w:p>
  </w:footnote>
  <w:footnote w:id="66">
    <w:p w14:paraId="080637CA" w14:textId="390611D0" w:rsidR="008F094F" w:rsidRDefault="008F094F">
      <w:pPr>
        <w:pStyle w:val="Voetnoottekst"/>
      </w:pPr>
      <w:r>
        <w:rPr>
          <w:rStyle w:val="Voetnootmarkering"/>
        </w:rPr>
        <w:footnoteRef/>
      </w:r>
      <w:r>
        <w:t xml:space="preserve"> HvJ EU 30 januari 2018</w:t>
      </w:r>
      <w:r w:rsidR="00A73E34">
        <w:t>, ECLI:EU:C:2018:</w:t>
      </w:r>
      <w:r w:rsidR="00AE29C1">
        <w:t>44</w:t>
      </w:r>
      <w:r w:rsidR="00B71DC9">
        <w:t xml:space="preserve"> </w:t>
      </w:r>
      <w:r w:rsidR="00341244">
        <w:t>(</w:t>
      </w:r>
      <w:r w:rsidR="00660F3B">
        <w:t xml:space="preserve">Gemeente </w:t>
      </w:r>
      <w:r w:rsidR="00341244" w:rsidRPr="00341244">
        <w:rPr>
          <w:i/>
          <w:iCs/>
        </w:rPr>
        <w:t>Appingedam</w:t>
      </w:r>
      <w:r w:rsidR="00341244">
        <w:t>)</w:t>
      </w:r>
      <w:r w:rsidR="00B71DC9">
        <w:t>, r.o. 89-95.</w:t>
      </w:r>
    </w:p>
  </w:footnote>
  <w:footnote w:id="67">
    <w:p w14:paraId="67DFC69A" w14:textId="1471511C" w:rsidR="003D4D31" w:rsidRDefault="003D4D31">
      <w:pPr>
        <w:pStyle w:val="Voetnoottekst"/>
      </w:pPr>
      <w:r>
        <w:rPr>
          <w:rStyle w:val="Voetnootmarkering"/>
        </w:rPr>
        <w:footnoteRef/>
      </w:r>
      <w:r>
        <w:t xml:space="preserve"> </w:t>
      </w:r>
      <w:r w:rsidR="006B4CE7">
        <w:t>HR 2 juni 2023, ECLI:NL:HR:</w:t>
      </w:r>
      <w:r w:rsidR="00E047E8">
        <w:t>2023:</w:t>
      </w:r>
      <w:r w:rsidR="00D77E3E">
        <w:t>835, r.o.</w:t>
      </w:r>
      <w:r w:rsidR="0014632A">
        <w:t xml:space="preserve"> 3.1.6 &amp; </w:t>
      </w:r>
      <w:r w:rsidR="00507BCE">
        <w:t xml:space="preserve">Conclusie </w:t>
      </w:r>
      <w:r w:rsidR="00B71DC9">
        <w:t>A</w:t>
      </w:r>
      <w:r w:rsidR="00D558E5">
        <w:t>G Wis</w:t>
      </w:r>
      <w:r w:rsidR="00FA5984">
        <w:t xml:space="preserve">sink </w:t>
      </w:r>
      <w:r w:rsidR="00507BCE">
        <w:t xml:space="preserve">16 december 2022 </w:t>
      </w:r>
      <w:r w:rsidR="00FA5984">
        <w:t>ECLI:NL:PHR:</w:t>
      </w:r>
      <w:r w:rsidR="00B42664">
        <w:t>2022:1194, r.o. 3.19-3.21</w:t>
      </w:r>
      <w:r w:rsidR="00B71DC9">
        <w:t>.</w:t>
      </w:r>
    </w:p>
  </w:footnote>
  <w:footnote w:id="68">
    <w:p w14:paraId="66D8B086" w14:textId="4D16245F" w:rsidR="00D6328D" w:rsidRDefault="00D6328D">
      <w:pPr>
        <w:pStyle w:val="Voetnoottekst"/>
      </w:pPr>
      <w:r>
        <w:rPr>
          <w:rStyle w:val="Voetnootmarkering"/>
        </w:rPr>
        <w:footnoteRef/>
      </w:r>
      <w:r>
        <w:t xml:space="preserve"> Conclusie AG </w:t>
      </w:r>
      <w:r w:rsidR="00453DA8">
        <w:t>W</w:t>
      </w:r>
      <w:r>
        <w:t xml:space="preserve">issink 16 december 2022, ECLI:NL:PHR:2022:1194, </w:t>
      </w:r>
      <w:r w:rsidR="00507BCE">
        <w:t>r.o.</w:t>
      </w:r>
      <w:r>
        <w:t xml:space="preserve"> 3.20. </w:t>
      </w:r>
    </w:p>
  </w:footnote>
  <w:footnote w:id="69">
    <w:p w14:paraId="08ED09F5" w14:textId="1FDECE2B" w:rsidR="00C549F6" w:rsidRPr="008E6C01" w:rsidRDefault="00C549F6">
      <w:pPr>
        <w:pStyle w:val="Voetnoottekst"/>
        <w:rPr>
          <w:lang w:val="en-US"/>
        </w:rPr>
      </w:pPr>
      <w:r>
        <w:rPr>
          <w:rStyle w:val="Voetnootmarkering"/>
        </w:rPr>
        <w:footnoteRef/>
      </w:r>
      <w:r w:rsidRPr="008E6C01">
        <w:rPr>
          <w:lang w:val="en-US"/>
        </w:rPr>
        <w:t xml:space="preserve"> </w:t>
      </w:r>
      <w:r w:rsidR="008A4B25" w:rsidRPr="008E6C01">
        <w:rPr>
          <w:lang w:val="en-US"/>
        </w:rPr>
        <w:t xml:space="preserve">Drion, </w:t>
      </w:r>
      <w:r w:rsidR="008A4B25" w:rsidRPr="008E6C01">
        <w:rPr>
          <w:i/>
          <w:iCs/>
          <w:lang w:val="en-US"/>
        </w:rPr>
        <w:t>NJB</w:t>
      </w:r>
      <w:r w:rsidR="008A4B25" w:rsidRPr="008E6C01">
        <w:rPr>
          <w:lang w:val="en-US"/>
        </w:rPr>
        <w:t xml:space="preserve"> 2018.</w:t>
      </w:r>
    </w:p>
  </w:footnote>
  <w:footnote w:id="70">
    <w:p w14:paraId="3E45CF1A" w14:textId="6C74D7DC" w:rsidR="00CD226B" w:rsidRPr="00CD226B" w:rsidRDefault="00CD226B">
      <w:pPr>
        <w:pStyle w:val="Voetnoottekst"/>
        <w:rPr>
          <w:lang w:val="en-US"/>
        </w:rPr>
      </w:pPr>
      <w:r>
        <w:rPr>
          <w:rStyle w:val="Voetnootmarkering"/>
        </w:rPr>
        <w:footnoteRef/>
      </w:r>
      <w:r w:rsidRPr="00CD226B">
        <w:rPr>
          <w:lang w:val="en-US"/>
        </w:rPr>
        <w:t xml:space="preserve"> </w:t>
      </w:r>
      <w:r>
        <w:rPr>
          <w:lang w:val="en-US"/>
        </w:rPr>
        <w:t xml:space="preserve">Loos </w:t>
      </w:r>
      <w:r w:rsidR="00873EC6">
        <w:rPr>
          <w:lang w:val="en-US"/>
        </w:rPr>
        <w:t>2024, p.</w:t>
      </w:r>
      <w:r w:rsidR="005F7D92">
        <w:rPr>
          <w:lang w:val="en-US"/>
        </w:rPr>
        <w:t xml:space="preserve"> 139.</w:t>
      </w:r>
    </w:p>
  </w:footnote>
  <w:footnote w:id="71">
    <w:p w14:paraId="26C8449C" w14:textId="42382C94" w:rsidR="008A40F5" w:rsidRPr="001D5805" w:rsidRDefault="008A40F5">
      <w:pPr>
        <w:pStyle w:val="Voetnoottekst"/>
        <w:rPr>
          <w:lang w:val="en-US"/>
        </w:rPr>
      </w:pPr>
      <w:r>
        <w:rPr>
          <w:rStyle w:val="Voetnootmarkering"/>
        </w:rPr>
        <w:footnoteRef/>
      </w:r>
      <w:r w:rsidRPr="001D5805">
        <w:rPr>
          <w:lang w:val="en-US"/>
        </w:rPr>
        <w:t xml:space="preserve"> </w:t>
      </w:r>
      <w:r w:rsidR="00915B8A" w:rsidRPr="001D5805">
        <w:rPr>
          <w:lang w:val="en-US"/>
        </w:rPr>
        <w:t>Hof Arnhem 11 december 2012, ECLI:NL:GHARN:2012:</w:t>
      </w:r>
      <w:r w:rsidR="001D5805" w:rsidRPr="001D5805">
        <w:rPr>
          <w:lang w:val="en-US"/>
        </w:rPr>
        <w:t>BY</w:t>
      </w:r>
      <w:r w:rsidR="001D5805">
        <w:rPr>
          <w:lang w:val="en-US"/>
        </w:rPr>
        <w:t>5306</w:t>
      </w:r>
      <w:r w:rsidR="00542C85">
        <w:rPr>
          <w:lang w:val="en-US"/>
        </w:rPr>
        <w:t>, r.o. 2.6.</w:t>
      </w:r>
    </w:p>
  </w:footnote>
  <w:footnote w:id="72">
    <w:p w14:paraId="17828CC6" w14:textId="59261031" w:rsidR="00A64FE6" w:rsidRDefault="00A64FE6">
      <w:pPr>
        <w:pStyle w:val="Voetnoottekst"/>
      </w:pPr>
      <w:r>
        <w:rPr>
          <w:rStyle w:val="Voetnootmarkering"/>
        </w:rPr>
        <w:footnoteRef/>
      </w:r>
      <w:r>
        <w:t xml:space="preserve"> Loos 2024, </w:t>
      </w:r>
      <w:r w:rsidR="003A734D">
        <w:t>p</w:t>
      </w:r>
      <w:r>
        <w:t xml:space="preserve">. </w:t>
      </w:r>
      <w:r w:rsidR="0056233B">
        <w:t>123.</w:t>
      </w:r>
    </w:p>
  </w:footnote>
  <w:footnote w:id="73">
    <w:p w14:paraId="1598A5B1" w14:textId="456521C6" w:rsidR="00AC7F2E" w:rsidRDefault="00AC7F2E">
      <w:pPr>
        <w:pStyle w:val="Voetnoottekst"/>
      </w:pPr>
      <w:r>
        <w:rPr>
          <w:rStyle w:val="Voetnootmarkering"/>
        </w:rPr>
        <w:footnoteRef/>
      </w:r>
      <w:r>
        <w:t xml:space="preserve"> Zie kersten 2012</w:t>
      </w:r>
      <w:r w:rsidR="00866029">
        <w:t>;</w:t>
      </w:r>
      <w:r>
        <w:t xml:space="preserve"> Spanjaard 2013</w:t>
      </w:r>
      <w:r w:rsidR="007953EF">
        <w:t xml:space="preserve"> </w:t>
      </w:r>
      <w:r w:rsidR="00866029">
        <w:t>&amp;</w:t>
      </w:r>
      <w:r w:rsidR="007953EF">
        <w:t xml:space="preserve"> HR 2 juni 2023, ECLI:NL:HR:2023:</w:t>
      </w:r>
      <w:r w:rsidR="00E047E8">
        <w:t xml:space="preserve">835. </w:t>
      </w:r>
    </w:p>
  </w:footnote>
  <w:footnote w:id="74">
    <w:p w14:paraId="51F16732" w14:textId="1981DA6B" w:rsidR="006A7839" w:rsidRDefault="006A7839">
      <w:pPr>
        <w:pStyle w:val="Voetnoottekst"/>
      </w:pPr>
      <w:r>
        <w:rPr>
          <w:rStyle w:val="Voetnootmarkering"/>
        </w:rPr>
        <w:footnoteRef/>
      </w:r>
      <w:r>
        <w:t xml:space="preserve"> HR 2 juni 2023, ECLI:NL:HR:2023:835, r.o. </w:t>
      </w:r>
      <w:r w:rsidR="00A3143A">
        <w:t>3.2.3.</w:t>
      </w:r>
    </w:p>
  </w:footnote>
  <w:footnote w:id="75">
    <w:p w14:paraId="694D45F4" w14:textId="78DDE45C" w:rsidR="007B1CA6" w:rsidRDefault="007B1CA6">
      <w:pPr>
        <w:pStyle w:val="Voetnoottekst"/>
      </w:pPr>
      <w:r>
        <w:rPr>
          <w:rStyle w:val="Voetnootmarkering"/>
        </w:rPr>
        <w:footnoteRef/>
      </w:r>
      <w:r>
        <w:t xml:space="preserve"> Noot Harryvan bij HR 2 juni 2023, ECLI:NL:HR:2023:835, </w:t>
      </w:r>
      <w:r w:rsidR="0082640A">
        <w:t>r.o.</w:t>
      </w:r>
      <w:r>
        <w:t xml:space="preserve"> 9. </w:t>
      </w:r>
    </w:p>
  </w:footnote>
  <w:footnote w:id="76">
    <w:p w14:paraId="4D97EBF7" w14:textId="7EFFB0D1" w:rsidR="00642F01" w:rsidRDefault="00642F01">
      <w:pPr>
        <w:pStyle w:val="Voetnoottekst"/>
      </w:pPr>
      <w:r>
        <w:rPr>
          <w:rStyle w:val="Voetnootmarkering"/>
        </w:rPr>
        <w:footnoteRef/>
      </w:r>
      <w:r>
        <w:t xml:space="preserve"> Volgt bijv. uit Rechtbank Rotterdam, locatie Dordrecht, 21 juli 2016, ECLI:NL:RBROT:2016:6108 (</w:t>
      </w:r>
      <w:r w:rsidRPr="001130D6">
        <w:rPr>
          <w:i/>
          <w:iCs/>
        </w:rPr>
        <w:t>Schipper SBT Brontechniek B.V./Tjaden B.V</w:t>
      </w:r>
      <w:r>
        <w:t>.).</w:t>
      </w:r>
    </w:p>
  </w:footnote>
  <w:footnote w:id="77">
    <w:p w14:paraId="609FE612" w14:textId="12CBF6CD" w:rsidR="001D024F" w:rsidRDefault="001D024F">
      <w:pPr>
        <w:pStyle w:val="Voetnoottekst"/>
      </w:pPr>
      <w:r>
        <w:rPr>
          <w:rStyle w:val="Voetnootmarkering"/>
        </w:rPr>
        <w:footnoteRef/>
      </w:r>
      <w:r>
        <w:t xml:space="preserve"> R</w:t>
      </w:r>
      <w:r w:rsidR="001130D6">
        <w:t>echtbank Gelderland, Locatie Nijmegen, 21 februari 2020, ECLI:NL:RBGEL:2020:1293 (</w:t>
      </w:r>
      <w:r w:rsidR="001130D6" w:rsidRPr="001130D6">
        <w:rPr>
          <w:i/>
          <w:iCs/>
        </w:rPr>
        <w:t>Reisgraag</w:t>
      </w:r>
      <w:r w:rsidR="001130D6">
        <w:t>.</w:t>
      </w:r>
      <w:r w:rsidR="001130D6" w:rsidRPr="001130D6">
        <w:rPr>
          <w:i/>
          <w:iCs/>
        </w:rPr>
        <w:t>nl</w:t>
      </w:r>
      <w:r w:rsidR="001130D6">
        <w:t>)</w:t>
      </w:r>
    </w:p>
  </w:footnote>
  <w:footnote w:id="78">
    <w:p w14:paraId="1839E5A2" w14:textId="33DCF287" w:rsidR="00F44BA6" w:rsidRDefault="00F44BA6">
      <w:pPr>
        <w:pStyle w:val="Voetnoottekst"/>
      </w:pPr>
      <w:r>
        <w:rPr>
          <w:rStyle w:val="Voetnootmarkering"/>
        </w:rPr>
        <w:footnoteRef/>
      </w:r>
      <w:r>
        <w:t xml:space="preserve"> Richtlijn 200</w:t>
      </w:r>
      <w:r w:rsidR="0096774E">
        <w:t>0</w:t>
      </w:r>
      <w:r>
        <w:t>/</w:t>
      </w:r>
      <w:r w:rsidR="00657A38">
        <w:t xml:space="preserve">31/EG (Richtlijn inzake elektronische handel). </w:t>
      </w:r>
    </w:p>
  </w:footnote>
  <w:footnote w:id="79">
    <w:p w14:paraId="7B55B5D7" w14:textId="77777777" w:rsidR="00B61B5E" w:rsidRDefault="00B61B5E" w:rsidP="00B61B5E">
      <w:pPr>
        <w:pStyle w:val="Voetnoottekst"/>
      </w:pPr>
      <w:r>
        <w:rPr>
          <w:rStyle w:val="Voetnootmarkering"/>
        </w:rPr>
        <w:footnoteRef/>
      </w:r>
      <w:r>
        <w:t xml:space="preserve"> HR 2 juni 2023, ECLI:NL:HR:2023:835, r.o. 3.2.3.</w:t>
      </w:r>
    </w:p>
  </w:footnote>
  <w:footnote w:id="80">
    <w:p w14:paraId="3C5188F4" w14:textId="7F537A5C" w:rsidR="0019572D" w:rsidRDefault="0019572D">
      <w:pPr>
        <w:pStyle w:val="Voetnoottekst"/>
      </w:pPr>
      <w:r>
        <w:rPr>
          <w:rStyle w:val="Voetnootmarkering"/>
        </w:rPr>
        <w:footnoteRef/>
      </w:r>
      <w:r>
        <w:t xml:space="preserve"> O.a. Loos 2024, p. 140 e.v.</w:t>
      </w:r>
    </w:p>
  </w:footnote>
  <w:footnote w:id="81">
    <w:p w14:paraId="029C5B6F" w14:textId="25E86669" w:rsidR="001157EB" w:rsidRDefault="001157EB">
      <w:pPr>
        <w:pStyle w:val="Voetnoottekst"/>
      </w:pPr>
      <w:r>
        <w:rPr>
          <w:rStyle w:val="Voetnootmarkering"/>
        </w:rPr>
        <w:footnoteRef/>
      </w:r>
      <w:r>
        <w:t xml:space="preserve"> Loos 2024, p. 141. </w:t>
      </w:r>
    </w:p>
  </w:footnote>
  <w:footnote w:id="82">
    <w:p w14:paraId="5C347003" w14:textId="55358F13" w:rsidR="00D250C4" w:rsidRPr="0082640A" w:rsidRDefault="00D250C4" w:rsidP="0082640A">
      <w:pPr>
        <w:spacing w:after="0" w:line="276" w:lineRule="auto"/>
        <w:rPr>
          <w:rFonts w:cs="Calibri"/>
          <w:sz w:val="20"/>
          <w:szCs w:val="20"/>
        </w:rPr>
      </w:pPr>
      <w:r w:rsidRPr="00BF7105">
        <w:rPr>
          <w:rStyle w:val="Voetnootmarkering"/>
          <w:sz w:val="20"/>
          <w:szCs w:val="20"/>
        </w:rPr>
        <w:footnoteRef/>
      </w:r>
      <w:r w:rsidR="00BF7105" w:rsidRPr="00BF7105">
        <w:rPr>
          <w:sz w:val="20"/>
          <w:szCs w:val="20"/>
        </w:rPr>
        <w:t xml:space="preserve"> </w:t>
      </w:r>
      <w:r w:rsidR="00BF7105" w:rsidRPr="00BF7105">
        <w:rPr>
          <w:rFonts w:cs="Calibri"/>
          <w:sz w:val="20"/>
          <w:szCs w:val="20"/>
        </w:rPr>
        <w:t>HvJ EU 30 januari 2018, ECLI:EU:C:2018:44 (</w:t>
      </w:r>
      <w:r w:rsidR="00BF7105" w:rsidRPr="00BF7105">
        <w:rPr>
          <w:rFonts w:cs="Calibri"/>
          <w:i/>
          <w:iCs/>
          <w:sz w:val="20"/>
          <w:szCs w:val="20"/>
        </w:rPr>
        <w:t>Gemeente Appingedam</w:t>
      </w:r>
      <w:r w:rsidR="00BF7105" w:rsidRPr="00BF7105">
        <w:rPr>
          <w:rFonts w:cs="Calibri"/>
          <w:sz w:val="20"/>
          <w:szCs w:val="20"/>
        </w:rPr>
        <w:t>)</w:t>
      </w:r>
      <w:r w:rsidR="00BF7105">
        <w:rPr>
          <w:rFonts w:cs="Calibri"/>
          <w:sz w:val="20"/>
          <w:szCs w:val="20"/>
        </w:rPr>
        <w:t xml:space="preserve">, r.o. </w:t>
      </w:r>
      <w:r w:rsidR="00091A96">
        <w:rPr>
          <w:rFonts w:cs="Calibri"/>
          <w:sz w:val="20"/>
          <w:szCs w:val="20"/>
        </w:rPr>
        <w:t>87 &amp; HR 2 juni 2023, ECLI:NL:HR:2023:</w:t>
      </w:r>
      <w:r w:rsidR="002D6D8B">
        <w:rPr>
          <w:rFonts w:cs="Calibri"/>
          <w:sz w:val="20"/>
          <w:szCs w:val="20"/>
        </w:rPr>
        <w:t xml:space="preserve">835, r.o. </w:t>
      </w:r>
      <w:r w:rsidR="000A0C0A">
        <w:rPr>
          <w:rFonts w:cs="Calibri"/>
          <w:sz w:val="20"/>
          <w:szCs w:val="20"/>
        </w:rPr>
        <w:t>3.1.2.</w:t>
      </w:r>
    </w:p>
  </w:footnote>
  <w:footnote w:id="83">
    <w:p w14:paraId="5919C971" w14:textId="77777777" w:rsidR="00332CA2" w:rsidRDefault="00332CA2" w:rsidP="00332CA2">
      <w:pPr>
        <w:pStyle w:val="Voetnoottekst"/>
      </w:pPr>
      <w:r>
        <w:rPr>
          <w:rStyle w:val="Voetnootmarkering"/>
        </w:rPr>
        <w:footnoteRef/>
      </w:r>
      <w:r>
        <w:t xml:space="preserve"> Bijvoorbeeld Zippro, </w:t>
      </w:r>
      <w:r w:rsidRPr="00CE2DDC">
        <w:rPr>
          <w:i/>
          <w:iCs/>
        </w:rPr>
        <w:t>MvV</w:t>
      </w:r>
      <w:r>
        <w:t xml:space="preserve"> 2023 &amp; Mölenberg 1995, p. 182 e.v.</w:t>
      </w:r>
    </w:p>
  </w:footnote>
  <w:footnote w:id="84">
    <w:p w14:paraId="4D51C7BF" w14:textId="77777777" w:rsidR="00332CA2" w:rsidRPr="00784AD5" w:rsidRDefault="00332CA2" w:rsidP="00332CA2">
      <w:pPr>
        <w:spacing w:after="0"/>
        <w:rPr>
          <w:color w:val="0D0D0D" w:themeColor="text1" w:themeTint="F2"/>
          <w:sz w:val="20"/>
          <w:szCs w:val="20"/>
          <w:shd w:val="clear" w:color="auto" w:fill="FFFFFF"/>
        </w:rPr>
      </w:pPr>
      <w:r w:rsidRPr="00784AD5">
        <w:rPr>
          <w:rStyle w:val="Voetnootmarkering"/>
          <w:sz w:val="20"/>
          <w:szCs w:val="20"/>
        </w:rPr>
        <w:footnoteRef/>
      </w:r>
      <w:r w:rsidRPr="00784AD5">
        <w:rPr>
          <w:sz w:val="20"/>
          <w:szCs w:val="20"/>
        </w:rPr>
        <w:t xml:space="preserve"> </w:t>
      </w:r>
      <w:r w:rsidRPr="00784AD5">
        <w:rPr>
          <w:color w:val="0D0D0D" w:themeColor="text1" w:themeTint="F2"/>
          <w:sz w:val="20"/>
          <w:szCs w:val="20"/>
          <w:shd w:val="clear" w:color="auto" w:fill="FFFFFF"/>
        </w:rPr>
        <w:t xml:space="preserve">Wessels &amp; Jongeleer (red.), </w:t>
      </w:r>
      <w:r w:rsidRPr="00784AD5">
        <w:rPr>
          <w:i/>
          <w:iCs/>
          <w:color w:val="0D0D0D" w:themeColor="text1" w:themeTint="F2"/>
          <w:sz w:val="20"/>
          <w:szCs w:val="20"/>
          <w:shd w:val="clear" w:color="auto" w:fill="FFFFFF"/>
        </w:rPr>
        <w:t>Algemene voorwaarden</w:t>
      </w:r>
      <w:r w:rsidRPr="00784AD5">
        <w:rPr>
          <w:color w:val="0D0D0D" w:themeColor="text1" w:themeTint="F2"/>
          <w:sz w:val="20"/>
          <w:szCs w:val="20"/>
          <w:shd w:val="clear" w:color="auto" w:fill="FFFFFF"/>
        </w:rPr>
        <w:t xml:space="preserve"> (R&amp;P nr. CA1) 2017</w:t>
      </w:r>
      <w:r>
        <w:rPr>
          <w:color w:val="0D0D0D" w:themeColor="text1" w:themeTint="F2"/>
          <w:sz w:val="20"/>
          <w:szCs w:val="20"/>
          <w:shd w:val="clear" w:color="auto" w:fill="FFFFFF"/>
        </w:rPr>
        <w:t>, nr. 8.16.</w:t>
      </w:r>
    </w:p>
  </w:footnote>
  <w:footnote w:id="85">
    <w:p w14:paraId="5568C01B" w14:textId="77777777" w:rsidR="00332CA2" w:rsidRDefault="00332CA2" w:rsidP="00332CA2">
      <w:pPr>
        <w:pStyle w:val="Voetnoottekst"/>
      </w:pPr>
      <w:r>
        <w:rPr>
          <w:rStyle w:val="Voetnootmarkering"/>
        </w:rPr>
        <w:footnoteRef/>
      </w:r>
      <w:r>
        <w:t xml:space="preserve"> Schaub, NTBR 2013 &amp; Schelhaas 2011, nr. 4.2.4.</w:t>
      </w:r>
    </w:p>
  </w:footnote>
  <w:footnote w:id="86">
    <w:p w14:paraId="2E9E9DDB" w14:textId="77777777" w:rsidR="00332CA2" w:rsidRDefault="00332CA2" w:rsidP="00332CA2">
      <w:pPr>
        <w:pStyle w:val="Voetnoottekst"/>
      </w:pPr>
      <w:r>
        <w:rPr>
          <w:rStyle w:val="Voetnootmarkering"/>
        </w:rPr>
        <w:footnoteRef/>
      </w:r>
      <w:r>
        <w:t xml:space="preserve"> Schelhaas, nr. 4.2.4. </w:t>
      </w:r>
    </w:p>
  </w:footnote>
  <w:footnote w:id="87">
    <w:p w14:paraId="161AB06E" w14:textId="77777777" w:rsidR="00332CA2" w:rsidRDefault="00332CA2" w:rsidP="00332CA2">
      <w:pPr>
        <w:pStyle w:val="Voetnoottekst"/>
      </w:pPr>
      <w:r>
        <w:rPr>
          <w:rStyle w:val="Voetnootmarkering"/>
        </w:rPr>
        <w:footnoteRef/>
      </w:r>
      <w:r>
        <w:t xml:space="preserve"> Loos, </w:t>
      </w:r>
      <w:r w:rsidRPr="003A1684">
        <w:rPr>
          <w:i/>
          <w:iCs/>
        </w:rPr>
        <w:t>Contracteren</w:t>
      </w:r>
      <w:r>
        <w:t xml:space="preserve"> 2004, p. 32.</w:t>
      </w:r>
    </w:p>
  </w:footnote>
  <w:footnote w:id="88">
    <w:p w14:paraId="18EF2595" w14:textId="77777777" w:rsidR="00332CA2" w:rsidRDefault="00332CA2" w:rsidP="00332CA2">
      <w:pPr>
        <w:pStyle w:val="Voetnoottekst"/>
      </w:pPr>
      <w:r>
        <w:rPr>
          <w:rStyle w:val="Voetnootmarkering"/>
        </w:rPr>
        <w:footnoteRef/>
      </w:r>
      <w:r>
        <w:t xml:space="preserve"> Schelhaas 2011, nr.4.2.4.</w:t>
      </w:r>
    </w:p>
  </w:footnote>
  <w:footnote w:id="89">
    <w:p w14:paraId="298192C2" w14:textId="77777777" w:rsidR="00332CA2" w:rsidRDefault="00332CA2" w:rsidP="00332CA2">
      <w:pPr>
        <w:pStyle w:val="Voetnoottekst"/>
      </w:pPr>
      <w:r>
        <w:rPr>
          <w:rStyle w:val="Voetnootmarkering"/>
        </w:rPr>
        <w:footnoteRef/>
      </w:r>
      <w:r>
        <w:t xml:space="preserve"> Cohen Tervaert en Jongeneel, </w:t>
      </w:r>
      <w:r w:rsidRPr="00B80C33">
        <w:rPr>
          <w:i/>
          <w:iCs/>
        </w:rPr>
        <w:t>NJB</w:t>
      </w:r>
      <w:r>
        <w:t xml:space="preserve"> 2003, p. 328.</w:t>
      </w:r>
    </w:p>
  </w:footnote>
  <w:footnote w:id="90">
    <w:p w14:paraId="6AE7D6D8" w14:textId="77777777" w:rsidR="00332CA2" w:rsidRDefault="00332CA2" w:rsidP="00332CA2">
      <w:pPr>
        <w:pStyle w:val="Voetnoottekst"/>
      </w:pPr>
      <w:r>
        <w:rPr>
          <w:rStyle w:val="Voetnootmarkering"/>
        </w:rPr>
        <w:footnoteRef/>
      </w:r>
      <w:r>
        <w:t xml:space="preserve"> Volgt ook uit Langbroek, </w:t>
      </w:r>
      <w:r w:rsidRPr="00591D2E">
        <w:rPr>
          <w:i/>
          <w:iCs/>
        </w:rPr>
        <w:t>TOR</w:t>
      </w:r>
      <w:r>
        <w:t xml:space="preserve"> 2011, p. 28.</w:t>
      </w:r>
    </w:p>
  </w:footnote>
  <w:footnote w:id="91">
    <w:p w14:paraId="5B2A096A" w14:textId="77777777" w:rsidR="00332CA2" w:rsidRDefault="00332CA2" w:rsidP="00332CA2">
      <w:pPr>
        <w:pStyle w:val="Voetnoottekst"/>
      </w:pPr>
      <w:r>
        <w:rPr>
          <w:rStyle w:val="Voetnootmarkering"/>
        </w:rPr>
        <w:footnoteRef/>
      </w:r>
      <w:r>
        <w:t xml:space="preserve"> ‘Internet; toegang, gebruik en faciliteiten; 2012-2019’, www.cbs.nl. </w:t>
      </w:r>
    </w:p>
  </w:footnote>
  <w:footnote w:id="92">
    <w:p w14:paraId="76B80564" w14:textId="77777777" w:rsidR="00332CA2" w:rsidRDefault="00332CA2" w:rsidP="00332CA2">
      <w:pPr>
        <w:pStyle w:val="Voetnoottekst"/>
      </w:pPr>
      <w:r>
        <w:rPr>
          <w:rStyle w:val="Voetnootmarkering"/>
        </w:rPr>
        <w:footnoteRef/>
      </w:r>
      <w:r>
        <w:t xml:space="preserve"> Schelhaas 2011, nr. 4.2.4.</w:t>
      </w:r>
    </w:p>
  </w:footnote>
  <w:footnote w:id="93">
    <w:p w14:paraId="0CB3BE06" w14:textId="77777777" w:rsidR="00332CA2" w:rsidRDefault="00332CA2" w:rsidP="00332CA2">
      <w:pPr>
        <w:pStyle w:val="Voetnoottekst"/>
      </w:pPr>
      <w:r>
        <w:rPr>
          <w:rStyle w:val="Voetnootmarkering"/>
        </w:rPr>
        <w:footnoteRef/>
      </w:r>
      <w:r>
        <w:t xml:space="preserve"> Schaub, </w:t>
      </w:r>
      <w:r w:rsidRPr="00E1682A">
        <w:rPr>
          <w:i/>
          <w:iCs/>
        </w:rPr>
        <w:t>NTBR</w:t>
      </w:r>
      <w:r>
        <w:t xml:space="preserve"> 2013, p. 8.</w:t>
      </w:r>
    </w:p>
  </w:footnote>
  <w:footnote w:id="94">
    <w:p w14:paraId="668DA6D9" w14:textId="77777777" w:rsidR="00332CA2" w:rsidRDefault="00332CA2" w:rsidP="00332CA2">
      <w:pPr>
        <w:pStyle w:val="Voetnoottekst"/>
      </w:pPr>
      <w:r>
        <w:rPr>
          <w:rStyle w:val="Voetnootmarkering"/>
        </w:rPr>
        <w:footnoteRef/>
      </w:r>
      <w:r>
        <w:t xml:space="preserve"> Voulon, </w:t>
      </w:r>
      <w:r w:rsidRPr="006172C8">
        <w:rPr>
          <w:i/>
          <w:iCs/>
        </w:rPr>
        <w:t>MvV</w:t>
      </w:r>
      <w:r>
        <w:t xml:space="preserve"> 2011, p. 141.</w:t>
      </w:r>
    </w:p>
  </w:footnote>
  <w:footnote w:id="95">
    <w:p w14:paraId="6346B549" w14:textId="77777777" w:rsidR="00332CA2" w:rsidRDefault="00332CA2" w:rsidP="00332CA2">
      <w:pPr>
        <w:pStyle w:val="Voetnoottekst"/>
      </w:pPr>
      <w:r>
        <w:rPr>
          <w:rStyle w:val="Voetnootmarkering"/>
        </w:rPr>
        <w:footnoteRef/>
      </w:r>
      <w:r>
        <w:t xml:space="preserve"> Schaub, </w:t>
      </w:r>
      <w:r w:rsidRPr="00E1682A">
        <w:rPr>
          <w:i/>
          <w:iCs/>
        </w:rPr>
        <w:t>NTBR</w:t>
      </w:r>
      <w:r>
        <w:t xml:space="preserve"> 2013, p. 7.</w:t>
      </w:r>
    </w:p>
  </w:footnote>
  <w:footnote w:id="96">
    <w:p w14:paraId="2AA5A549" w14:textId="77777777" w:rsidR="00332CA2" w:rsidRDefault="00332CA2" w:rsidP="00332CA2">
      <w:pPr>
        <w:pStyle w:val="Voetnoottekst"/>
      </w:pPr>
      <w:r>
        <w:rPr>
          <w:rStyle w:val="Voetnootmarkering"/>
        </w:rPr>
        <w:footnoteRef/>
      </w:r>
      <w:r>
        <w:t xml:space="preserve"> Schaub, </w:t>
      </w:r>
      <w:r w:rsidRPr="00607781">
        <w:rPr>
          <w:i/>
          <w:iCs/>
        </w:rPr>
        <w:t>NTBR</w:t>
      </w:r>
      <w:r>
        <w:t xml:space="preserve"> 2013, p. 6. </w:t>
      </w:r>
    </w:p>
  </w:footnote>
  <w:footnote w:id="97">
    <w:p w14:paraId="2FC2AD59" w14:textId="77777777" w:rsidR="00332CA2" w:rsidRDefault="00332CA2" w:rsidP="00332CA2">
      <w:pPr>
        <w:pStyle w:val="Voetnoottekst"/>
      </w:pPr>
      <w:r>
        <w:rPr>
          <w:rStyle w:val="Voetnootmarkering"/>
        </w:rPr>
        <w:footnoteRef/>
      </w:r>
      <w:r>
        <w:t xml:space="preserve"> Schaub, </w:t>
      </w:r>
      <w:r w:rsidRPr="00607781">
        <w:rPr>
          <w:i/>
          <w:iCs/>
        </w:rPr>
        <w:t>NTBR</w:t>
      </w:r>
      <w:r>
        <w:t xml:space="preserve"> 2013, p. 6.</w:t>
      </w:r>
    </w:p>
  </w:footnote>
  <w:footnote w:id="98">
    <w:p w14:paraId="5A810247" w14:textId="77777777" w:rsidR="00332CA2" w:rsidRDefault="00332CA2" w:rsidP="00332CA2">
      <w:pPr>
        <w:pStyle w:val="Voetnoottekst"/>
      </w:pPr>
      <w:r>
        <w:rPr>
          <w:rStyle w:val="Voetnootmarkering"/>
        </w:rPr>
        <w:footnoteRef/>
      </w:r>
      <w:r>
        <w:t xml:space="preserve"> Spanjaard, </w:t>
      </w:r>
      <w:r w:rsidRPr="004E0F72">
        <w:rPr>
          <w:i/>
          <w:iCs/>
        </w:rPr>
        <w:t>ORP</w:t>
      </w:r>
      <w:r>
        <w:t xml:space="preserve"> 2013, p. 26. </w:t>
      </w:r>
    </w:p>
  </w:footnote>
  <w:footnote w:id="99">
    <w:p w14:paraId="22413A8E" w14:textId="77777777" w:rsidR="00332CA2" w:rsidRDefault="00332CA2" w:rsidP="00332CA2">
      <w:pPr>
        <w:pStyle w:val="Voetnoottekst"/>
      </w:pPr>
      <w:r>
        <w:rPr>
          <w:rStyle w:val="Voetnootmarkering"/>
        </w:rPr>
        <w:footnoteRef/>
      </w:r>
      <w:r>
        <w:t xml:space="preserve"> HR 17 december 1999, ECLI:NL:HR:1999:AA3876 (</w:t>
      </w:r>
      <w:r w:rsidRPr="007C03A0">
        <w:rPr>
          <w:i/>
          <w:iCs/>
        </w:rPr>
        <w:t>Breg/Asper</w:t>
      </w:r>
      <w:r>
        <w:t>).</w:t>
      </w:r>
    </w:p>
  </w:footnote>
  <w:footnote w:id="100">
    <w:p w14:paraId="3B702E7B" w14:textId="77777777" w:rsidR="00332CA2" w:rsidRDefault="00332CA2" w:rsidP="00332CA2">
      <w:pPr>
        <w:pStyle w:val="Voetnoottekst"/>
      </w:pPr>
      <w:r>
        <w:rPr>
          <w:rStyle w:val="Voetnootmarkering"/>
        </w:rPr>
        <w:footnoteRef/>
      </w:r>
      <w:r>
        <w:t xml:space="preserve"> Noot van G.J. Harryvan bij HR 2 juni 2023, ECLI:NL:HR:2023:835.</w:t>
      </w:r>
    </w:p>
  </w:footnote>
  <w:footnote w:id="101">
    <w:p w14:paraId="59B3F6CE" w14:textId="77777777" w:rsidR="00332CA2" w:rsidRDefault="00332CA2" w:rsidP="00332CA2">
      <w:pPr>
        <w:pStyle w:val="Voetnoottekst"/>
      </w:pPr>
      <w:r>
        <w:rPr>
          <w:rStyle w:val="Voetnootmarkering"/>
        </w:rPr>
        <w:footnoteRef/>
      </w:r>
      <w:r>
        <w:t xml:space="preserve"> Hijma 2016, nr. 41b. &amp; De Graaf, </w:t>
      </w:r>
      <w:r w:rsidRPr="00712135">
        <w:rPr>
          <w:i/>
          <w:iCs/>
        </w:rPr>
        <w:t>NTBR</w:t>
      </w:r>
      <w:r>
        <w:t xml:space="preserve"> 2018/24, §. 2.4.</w:t>
      </w:r>
    </w:p>
  </w:footnote>
  <w:footnote w:id="102">
    <w:p w14:paraId="681019AC" w14:textId="77777777" w:rsidR="00332CA2" w:rsidRDefault="00332CA2" w:rsidP="00332CA2">
      <w:pPr>
        <w:pStyle w:val="Voetnoottekst"/>
      </w:pPr>
      <w:r>
        <w:rPr>
          <w:rStyle w:val="Voetnootmarkering"/>
        </w:rPr>
        <w:footnoteRef/>
      </w:r>
      <w:r>
        <w:t xml:space="preserve"> Wederpartijen die nagenoeg dezelfde algemene voorwaarden hanteren zijn voor deze scriptie weinig relevant, hier zal daarom niet dieper op in worden gegaan. Zie voor een verdere bespreking bijv. Loos 2024, p. 112-115.</w:t>
      </w:r>
    </w:p>
  </w:footnote>
  <w:footnote w:id="103">
    <w:p w14:paraId="4CB5B759" w14:textId="77777777" w:rsidR="00332CA2" w:rsidRPr="007A73A6" w:rsidRDefault="00332CA2" w:rsidP="00332CA2">
      <w:pPr>
        <w:pStyle w:val="Voetnoottekst"/>
      </w:pPr>
      <w:r w:rsidRPr="007A73A6">
        <w:rPr>
          <w:rStyle w:val="Voetnootmarkering"/>
        </w:rPr>
        <w:footnoteRef/>
      </w:r>
      <w:r w:rsidRPr="007A73A6">
        <w:t xml:space="preserve"> Loos 2024, p. 99-112; Schelhaas</w:t>
      </w:r>
      <w:r w:rsidRPr="007A73A6">
        <w:rPr>
          <w:rFonts w:cs="Calibri"/>
          <w:color w:val="0D0D0D" w:themeColor="text1" w:themeTint="F2"/>
          <w:shd w:val="clear" w:color="auto" w:fill="FFFFFF"/>
        </w:rPr>
        <w:t> </w:t>
      </w:r>
      <w:r w:rsidRPr="007A73A6">
        <w:t>2011, p. 18</w:t>
      </w:r>
      <w:r>
        <w:t xml:space="preserve"> &amp; Hijma 2016, nr. 49.</w:t>
      </w:r>
    </w:p>
  </w:footnote>
  <w:footnote w:id="104">
    <w:p w14:paraId="72479F54" w14:textId="77777777" w:rsidR="00332CA2" w:rsidRDefault="00332CA2" w:rsidP="00332CA2">
      <w:pPr>
        <w:pStyle w:val="Voetnoottekst"/>
      </w:pPr>
      <w:r>
        <w:rPr>
          <w:rStyle w:val="Voetnootmarkering"/>
        </w:rPr>
        <w:footnoteRef/>
      </w:r>
      <w:r>
        <w:t xml:space="preserve"> Drion 2007, p. 3; Hijma 2016, nr. 49. </w:t>
      </w:r>
    </w:p>
  </w:footnote>
  <w:footnote w:id="105">
    <w:p w14:paraId="40B85D17" w14:textId="77777777" w:rsidR="00332CA2" w:rsidRDefault="00332CA2" w:rsidP="00332CA2">
      <w:pPr>
        <w:pStyle w:val="Voetnoottekst"/>
      </w:pPr>
      <w:r>
        <w:rPr>
          <w:rStyle w:val="Voetnootmarkering"/>
        </w:rPr>
        <w:footnoteRef/>
      </w:r>
      <w:r>
        <w:t xml:space="preserve"> Loos 2024, p. 105. </w:t>
      </w:r>
    </w:p>
  </w:footnote>
  <w:footnote w:id="106">
    <w:p w14:paraId="7BD813B1" w14:textId="77777777" w:rsidR="00332CA2" w:rsidRDefault="00332CA2" w:rsidP="00332CA2">
      <w:pPr>
        <w:pStyle w:val="Voetnoottekst"/>
      </w:pPr>
      <w:r>
        <w:rPr>
          <w:rStyle w:val="Voetnootmarkering"/>
        </w:rPr>
        <w:footnoteRef/>
      </w:r>
      <w:r>
        <w:t xml:space="preserve"> Loos 2024, p. 104.</w:t>
      </w:r>
    </w:p>
  </w:footnote>
  <w:footnote w:id="107">
    <w:p w14:paraId="2B78736D" w14:textId="77777777" w:rsidR="00332CA2" w:rsidRDefault="00332CA2" w:rsidP="00332CA2">
      <w:pPr>
        <w:pStyle w:val="Voetnoottekst"/>
      </w:pPr>
      <w:r>
        <w:rPr>
          <w:rStyle w:val="Voetnootmarkering"/>
        </w:rPr>
        <w:footnoteRef/>
      </w:r>
      <w:r>
        <w:t xml:space="preserve"> Wissink, </w:t>
      </w:r>
      <w:r w:rsidRPr="005F288F">
        <w:rPr>
          <w:i/>
          <w:iCs/>
        </w:rPr>
        <w:t>NTBR</w:t>
      </w:r>
      <w:r>
        <w:t xml:space="preserve"> 2005, p. 263-264. </w:t>
      </w:r>
    </w:p>
  </w:footnote>
  <w:footnote w:id="108">
    <w:p w14:paraId="46F0D551" w14:textId="77777777" w:rsidR="00332CA2" w:rsidRDefault="00332CA2" w:rsidP="00332CA2">
      <w:pPr>
        <w:pStyle w:val="Voetnoottekst"/>
      </w:pPr>
      <w:r>
        <w:rPr>
          <w:rStyle w:val="Voetnootmarkering"/>
        </w:rPr>
        <w:footnoteRef/>
      </w:r>
      <w:r>
        <w:t xml:space="preserve"> Spanjaard, </w:t>
      </w:r>
      <w:r w:rsidRPr="004B1926">
        <w:rPr>
          <w:i/>
          <w:iCs/>
        </w:rPr>
        <w:t>contracteren</w:t>
      </w:r>
      <w:r>
        <w:t xml:space="preserve"> 2012, p. 28. </w:t>
      </w:r>
      <w:r w:rsidRPr="008E7D2F">
        <w:t>De Nederlandse, Duitse, Deense, Poolse, Slowaakse Sloveense en Tsjechische tekst behelzen volgens hem een zelfstandige informatieplicht. De Engelse, Franse, Spaanse, Portugese, Italiaanse, Zweedse en Bulgaarse taalversies lijken als uitgangspunt te nemen dat </w:t>
      </w:r>
      <w:r w:rsidRPr="008E7D2F">
        <w:rPr>
          <w:i/>
          <w:iCs/>
        </w:rPr>
        <w:t>als</w:t>
      </w:r>
      <w:r w:rsidRPr="008E7D2F">
        <w:t> de algemene voorwaarden ter beschikking worden gesteld, dit op de wijze als voorgeschreven in art. 10 lid 3 Richtlijn 2000/31/EG dient te geschieden, met andere woorden de Richtlijn wil (slechts) nadere invulling geven aan een op nationaal niveau bestaande informatieplicht.</w:t>
      </w:r>
    </w:p>
  </w:footnote>
  <w:footnote w:id="109">
    <w:p w14:paraId="20347186" w14:textId="77777777" w:rsidR="00332CA2" w:rsidRDefault="00332CA2" w:rsidP="00332CA2">
      <w:pPr>
        <w:pStyle w:val="Voetnoottekst"/>
      </w:pPr>
      <w:r>
        <w:rPr>
          <w:rStyle w:val="Voetnootmarkering"/>
        </w:rPr>
        <w:footnoteRef/>
      </w:r>
      <w:r>
        <w:t xml:space="preserve"> In verband met de omvang van deze scriptie zal hier niet verder op in worden gegaan, voor een verdere bespreking zie Loos 2024, p. 99-112.</w:t>
      </w:r>
    </w:p>
  </w:footnote>
  <w:footnote w:id="110">
    <w:p w14:paraId="16F3E724" w14:textId="77777777" w:rsidR="00332CA2" w:rsidRDefault="00332CA2" w:rsidP="00332CA2">
      <w:pPr>
        <w:pStyle w:val="Voetnoottekst"/>
      </w:pPr>
      <w:r>
        <w:rPr>
          <w:rStyle w:val="Voetnootmarkering"/>
        </w:rPr>
        <w:footnoteRef/>
      </w:r>
      <w:r>
        <w:t xml:space="preserve"> Volgt bijv. uit De Graaf, </w:t>
      </w:r>
      <w:r w:rsidRPr="00841762">
        <w:rPr>
          <w:i/>
          <w:iCs/>
        </w:rPr>
        <w:t>NTBR</w:t>
      </w:r>
      <w:r>
        <w:t xml:space="preserve"> 2018, § 3.</w:t>
      </w:r>
    </w:p>
  </w:footnote>
  <w:footnote w:id="111">
    <w:p w14:paraId="25F7122B" w14:textId="77777777" w:rsidR="00332CA2" w:rsidRDefault="00332CA2" w:rsidP="00332CA2">
      <w:pPr>
        <w:pStyle w:val="Voetnoottekst"/>
      </w:pPr>
      <w:r>
        <w:rPr>
          <w:rStyle w:val="Voetnootmarkering"/>
        </w:rPr>
        <w:footnoteRef/>
      </w:r>
      <w:r>
        <w:t xml:space="preserve"> Overweging 30 richtlijn 2006/123/EG (Dienstenrichtlijn).</w:t>
      </w:r>
    </w:p>
  </w:footnote>
  <w:footnote w:id="112">
    <w:p w14:paraId="1280B70B" w14:textId="77777777" w:rsidR="00332CA2" w:rsidRDefault="00332CA2" w:rsidP="00332CA2">
      <w:pPr>
        <w:pStyle w:val="Voetnoottekst"/>
      </w:pPr>
      <w:r>
        <w:rPr>
          <w:rStyle w:val="Voetnootmarkering"/>
        </w:rPr>
        <w:footnoteRef/>
      </w:r>
      <w:r>
        <w:t xml:space="preserve"> Zo ook De Graaf, NTBR 2018, § 3; Schelhaas 2011, nr. 4.3 &amp; Schaub, </w:t>
      </w:r>
      <w:r w:rsidRPr="00F55DD1">
        <w:rPr>
          <w:i/>
          <w:iCs/>
        </w:rPr>
        <w:t>NTBR</w:t>
      </w:r>
      <w:r>
        <w:t xml:space="preserve"> 2013, § 4. </w:t>
      </w:r>
    </w:p>
  </w:footnote>
  <w:footnote w:id="113">
    <w:p w14:paraId="213BD37C" w14:textId="77777777" w:rsidR="00F9131E" w:rsidRDefault="00F9131E" w:rsidP="00F9131E">
      <w:pPr>
        <w:pStyle w:val="Voetnoottekst"/>
      </w:pPr>
      <w:r>
        <w:rPr>
          <w:rStyle w:val="Voetnootmarkering"/>
        </w:rPr>
        <w:footnoteRef/>
      </w:r>
      <w:r>
        <w:t xml:space="preserve"> ‘Hervorming Burgerlijk wetboek’, Justitie.Belgie.be. </w:t>
      </w:r>
    </w:p>
  </w:footnote>
  <w:footnote w:id="114">
    <w:p w14:paraId="0F2CF3F2" w14:textId="77777777" w:rsidR="00F9131E" w:rsidRDefault="00F9131E" w:rsidP="00F9131E">
      <w:pPr>
        <w:pStyle w:val="Voetnoottekst"/>
      </w:pPr>
      <w:r>
        <w:rPr>
          <w:rStyle w:val="Voetnootmarkering"/>
        </w:rPr>
        <w:footnoteRef/>
      </w:r>
      <w:r>
        <w:t xml:space="preserve"> ‘Hervorming Burgerlijk wetboek’, Justitie.Belgie.be, onder boek 5.  </w:t>
      </w:r>
    </w:p>
  </w:footnote>
  <w:footnote w:id="115">
    <w:p w14:paraId="1ECFE883" w14:textId="04BA8E0B" w:rsidR="00DE346F" w:rsidRDefault="00DE346F">
      <w:pPr>
        <w:pStyle w:val="Voetnoottekst"/>
      </w:pPr>
      <w:r>
        <w:rPr>
          <w:rStyle w:val="Voetnootmarkering"/>
        </w:rPr>
        <w:footnoteRef/>
      </w:r>
      <w:r>
        <w:t xml:space="preserve"> </w:t>
      </w:r>
      <w:r w:rsidR="00F95119">
        <w:t xml:space="preserve">Wet van Dienstenwet van 26 maart 2010, </w:t>
      </w:r>
      <w:r w:rsidR="00F95119" w:rsidRPr="004526E1">
        <w:rPr>
          <w:i/>
          <w:iCs/>
        </w:rPr>
        <w:t>B</w:t>
      </w:r>
      <w:r w:rsidR="004526E1" w:rsidRPr="004526E1">
        <w:rPr>
          <w:i/>
          <w:iCs/>
        </w:rPr>
        <w:t>S</w:t>
      </w:r>
      <w:r w:rsidR="004526E1">
        <w:t xml:space="preserve"> 30 april 2010.</w:t>
      </w:r>
    </w:p>
  </w:footnote>
  <w:footnote w:id="116">
    <w:p w14:paraId="3F08AC6F" w14:textId="4CD240EB" w:rsidR="00065DEC" w:rsidRPr="00065DEC" w:rsidRDefault="00065DEC">
      <w:pPr>
        <w:pStyle w:val="Voetnoottekst"/>
        <w:rPr>
          <w:lang w:val="en-US"/>
        </w:rPr>
      </w:pPr>
      <w:r>
        <w:rPr>
          <w:rStyle w:val="Voetnootmarkering"/>
        </w:rPr>
        <w:footnoteRef/>
      </w:r>
      <w:r w:rsidRPr="00065DEC">
        <w:rPr>
          <w:lang w:val="en-US"/>
        </w:rPr>
        <w:t xml:space="preserve"> Art. III.74 e.v. WER</w:t>
      </w:r>
      <w:r>
        <w:rPr>
          <w:lang w:val="en-US"/>
        </w:rPr>
        <w:t>.</w:t>
      </w:r>
    </w:p>
  </w:footnote>
  <w:footnote w:id="117">
    <w:p w14:paraId="328FDAC2" w14:textId="40C4664B" w:rsidR="0043782B" w:rsidRDefault="0043782B">
      <w:pPr>
        <w:pStyle w:val="Voetnoottekst"/>
      </w:pPr>
      <w:r>
        <w:rPr>
          <w:rStyle w:val="Voetnootmarkering"/>
        </w:rPr>
        <w:footnoteRef/>
      </w:r>
      <w:r>
        <w:t xml:space="preserve"> Art. </w:t>
      </w:r>
      <w:r w:rsidR="00204079">
        <w:t>18 Dienstenwet.</w:t>
      </w:r>
    </w:p>
  </w:footnote>
  <w:footnote w:id="118">
    <w:p w14:paraId="18A8E8A9" w14:textId="020655D4" w:rsidR="00E508DC" w:rsidRPr="00B734C8" w:rsidRDefault="00E508DC">
      <w:pPr>
        <w:pStyle w:val="Voetnoottekst"/>
      </w:pPr>
      <w:r>
        <w:rPr>
          <w:rStyle w:val="Voetnootmarkering"/>
        </w:rPr>
        <w:footnoteRef/>
      </w:r>
      <w:r w:rsidRPr="00B734C8">
        <w:t xml:space="preserve"> </w:t>
      </w:r>
      <w:r w:rsidR="00011CC0" w:rsidRPr="00B734C8">
        <w:t>Art. III.</w:t>
      </w:r>
      <w:r w:rsidR="00CF34DD" w:rsidRPr="00B734C8">
        <w:t>77 WER.</w:t>
      </w:r>
    </w:p>
  </w:footnote>
  <w:footnote w:id="119">
    <w:p w14:paraId="0888E13E" w14:textId="53599329" w:rsidR="00CF34DD" w:rsidRPr="00B734C8" w:rsidRDefault="00CF34DD">
      <w:pPr>
        <w:pStyle w:val="Voetnoottekst"/>
      </w:pPr>
      <w:r>
        <w:rPr>
          <w:rStyle w:val="Voetnootmarkering"/>
        </w:rPr>
        <w:footnoteRef/>
      </w:r>
      <w:r w:rsidRPr="00B734C8">
        <w:t xml:space="preserve"> Arrt. III.78 WER.</w:t>
      </w:r>
    </w:p>
  </w:footnote>
  <w:footnote w:id="120">
    <w:p w14:paraId="69AFC24D" w14:textId="336D72E3" w:rsidR="00CD3171" w:rsidRPr="00B734C8" w:rsidRDefault="00CD3171">
      <w:pPr>
        <w:pStyle w:val="Voetnoottekst"/>
      </w:pPr>
      <w:r>
        <w:rPr>
          <w:rStyle w:val="Voetnootmarkering"/>
        </w:rPr>
        <w:footnoteRef/>
      </w:r>
      <w:r w:rsidRPr="00B734C8">
        <w:t xml:space="preserve"> </w:t>
      </w:r>
      <w:r w:rsidR="00744BBB">
        <w:t>Sustronck</w:t>
      </w:r>
      <w:r w:rsidR="009F085B">
        <w:t xml:space="preserve">, </w:t>
      </w:r>
      <w:r w:rsidR="009F085B" w:rsidRPr="00D051C5">
        <w:rPr>
          <w:i/>
          <w:iCs/>
        </w:rPr>
        <w:t xml:space="preserve">praktijkboek internetrecht </w:t>
      </w:r>
      <w:r w:rsidR="009F085B">
        <w:t>2017.</w:t>
      </w:r>
    </w:p>
  </w:footnote>
  <w:footnote w:id="121">
    <w:p w14:paraId="66B2A84E" w14:textId="77777777" w:rsidR="00E15AA5" w:rsidRPr="00B47B4B" w:rsidRDefault="00E15AA5" w:rsidP="00E15AA5">
      <w:pPr>
        <w:pStyle w:val="Voetnoottekst"/>
        <w:rPr>
          <w:lang w:val="en-US"/>
        </w:rPr>
      </w:pPr>
      <w:r>
        <w:rPr>
          <w:rStyle w:val="Voetnootmarkering"/>
        </w:rPr>
        <w:footnoteRef/>
      </w:r>
      <w:r w:rsidRPr="00B47B4B">
        <w:rPr>
          <w:lang w:val="en-US"/>
        </w:rPr>
        <w:t xml:space="preserve"> Cass. 14 mei 2021, C. 20.0506.N/1. </w:t>
      </w:r>
    </w:p>
  </w:footnote>
  <w:footnote w:id="122">
    <w:p w14:paraId="79150B04" w14:textId="236C9532" w:rsidR="00E15AA5" w:rsidRPr="00E95985" w:rsidRDefault="00E15AA5" w:rsidP="00E15AA5">
      <w:pPr>
        <w:pStyle w:val="Voetnoottekst"/>
        <w:rPr>
          <w:lang w:val="en-US"/>
        </w:rPr>
      </w:pPr>
      <w:r>
        <w:rPr>
          <w:rStyle w:val="Voetnootmarkering"/>
        </w:rPr>
        <w:footnoteRef/>
      </w:r>
      <w:r w:rsidRPr="00E95985">
        <w:rPr>
          <w:lang w:val="en-US"/>
        </w:rPr>
        <w:t xml:space="preserve"> </w:t>
      </w:r>
      <w:r w:rsidR="00BE5E38" w:rsidRPr="00E95985">
        <w:rPr>
          <w:lang w:val="en-US"/>
        </w:rPr>
        <w:t>Cass.</w:t>
      </w:r>
      <w:r w:rsidRPr="00E95985">
        <w:rPr>
          <w:lang w:val="en-US"/>
        </w:rPr>
        <w:t xml:space="preserve"> 20 april 2017, nr. C.16 0341.F</w:t>
      </w:r>
    </w:p>
  </w:footnote>
  <w:footnote w:id="123">
    <w:p w14:paraId="0D6896ED" w14:textId="42157166" w:rsidR="00924279" w:rsidRPr="00102702" w:rsidRDefault="00924279">
      <w:pPr>
        <w:pStyle w:val="Voetnoottekst"/>
        <w:rPr>
          <w:lang w:val="en-US"/>
        </w:rPr>
      </w:pPr>
      <w:r>
        <w:rPr>
          <w:rStyle w:val="Voetnootmarkering"/>
        </w:rPr>
        <w:footnoteRef/>
      </w:r>
      <w:r w:rsidRPr="00102702">
        <w:rPr>
          <w:lang w:val="en-US"/>
        </w:rPr>
        <w:t xml:space="preserve"> Zoals genoemd in HR 11 februari 2011, ECLI:NL:HR:2011</w:t>
      </w:r>
      <w:r w:rsidR="00C370C6" w:rsidRPr="00102702">
        <w:rPr>
          <w:lang w:val="en-US"/>
        </w:rPr>
        <w:t>: BO710</w:t>
      </w:r>
      <w:r w:rsidR="00102702" w:rsidRPr="00102702">
        <w:rPr>
          <w:lang w:val="en-US"/>
        </w:rPr>
        <w:t>8 (</w:t>
      </w:r>
      <w:r w:rsidR="00102702" w:rsidRPr="00102702">
        <w:rPr>
          <w:i/>
          <w:iCs/>
          <w:lang w:val="en-US"/>
        </w:rPr>
        <w:t>First Data/Attingo</w:t>
      </w:r>
      <w:r w:rsidR="00102702" w:rsidRPr="00102702">
        <w:rPr>
          <w:lang w:val="en-US"/>
        </w:rPr>
        <w:t>)</w:t>
      </w:r>
      <w:r w:rsidR="00102702">
        <w:rPr>
          <w:lang w:val="en-US"/>
        </w:rPr>
        <w:t>, r.o. 3.4.2.</w:t>
      </w:r>
    </w:p>
  </w:footnote>
  <w:footnote w:id="124">
    <w:p w14:paraId="09D4A588" w14:textId="517E8D95" w:rsidR="0067690E" w:rsidRPr="00102702" w:rsidRDefault="0067690E">
      <w:pPr>
        <w:pStyle w:val="Voetnoottekst"/>
        <w:rPr>
          <w:lang w:val="en-US"/>
        </w:rPr>
      </w:pPr>
      <w:r>
        <w:rPr>
          <w:rStyle w:val="Voetnootmarkering"/>
        </w:rPr>
        <w:footnoteRef/>
      </w:r>
      <w:r w:rsidRPr="00102702">
        <w:rPr>
          <w:lang w:val="en-US"/>
        </w:rPr>
        <w:t xml:space="preserve"> Cass. 16 september 2016, </w:t>
      </w:r>
      <w:r w:rsidRPr="00102702">
        <w:rPr>
          <w:i/>
          <w:iCs/>
          <w:lang w:val="en-US"/>
        </w:rPr>
        <w:t>TBBR</w:t>
      </w:r>
      <w:r w:rsidRPr="00102702">
        <w:rPr>
          <w:lang w:val="en-US"/>
        </w:rPr>
        <w:t xml:space="preserve"> 2018</w:t>
      </w:r>
      <w:r w:rsidR="0047603F" w:rsidRPr="00102702">
        <w:rPr>
          <w:lang w:val="en-US"/>
        </w:rPr>
        <w:t>/3, 154.</w:t>
      </w:r>
    </w:p>
  </w:footnote>
  <w:footnote w:id="125">
    <w:p w14:paraId="37548686" w14:textId="13EF6EF4" w:rsidR="00E15AA5" w:rsidRPr="00F106C7" w:rsidRDefault="00E15AA5" w:rsidP="00E15AA5">
      <w:pPr>
        <w:pStyle w:val="Voetnoottekst"/>
      </w:pPr>
      <w:r>
        <w:rPr>
          <w:rStyle w:val="Voetnootmarkering"/>
        </w:rPr>
        <w:footnoteRef/>
      </w:r>
      <w:r w:rsidRPr="00F106C7">
        <w:t xml:space="preserve"> De Clerk e.a.</w:t>
      </w:r>
      <w:r w:rsidR="00E81FE1" w:rsidRPr="00F106C7">
        <w:t xml:space="preserve"> 2012, </w:t>
      </w:r>
      <w:r w:rsidR="00D03B1A" w:rsidRPr="00F106C7">
        <w:t xml:space="preserve">nr. 11. </w:t>
      </w:r>
    </w:p>
  </w:footnote>
  <w:footnote w:id="126">
    <w:p w14:paraId="482685BE" w14:textId="5BA050CE" w:rsidR="004231EE" w:rsidRDefault="004231EE">
      <w:pPr>
        <w:pStyle w:val="Voetnoottekst"/>
      </w:pPr>
      <w:r>
        <w:rPr>
          <w:rStyle w:val="Voetnootmarkering"/>
        </w:rPr>
        <w:footnoteRef/>
      </w:r>
      <w:r>
        <w:t xml:space="preserve"> </w:t>
      </w:r>
      <w:r w:rsidR="00C204C1">
        <w:t>De Vul</w:t>
      </w:r>
      <w:r w:rsidR="008B2C01">
        <w:t>d</w:t>
      </w:r>
      <w:r w:rsidR="00C204C1">
        <w:t xml:space="preserve">er &amp; </w:t>
      </w:r>
      <w:r w:rsidR="00F1670D">
        <w:t>Rombouts, Algemene</w:t>
      </w:r>
      <w:r w:rsidR="00F1670D" w:rsidRPr="00F1670D">
        <w:rPr>
          <w:i/>
          <w:iCs/>
        </w:rPr>
        <w:t xml:space="preserve"> voorwaarden</w:t>
      </w:r>
      <w:r w:rsidR="00F1670D">
        <w:t xml:space="preserve"> 2006, p. </w:t>
      </w:r>
      <w:r w:rsidR="00C3651E">
        <w:t>45-48</w:t>
      </w:r>
      <w:r w:rsidR="00F1670D">
        <w:t>.</w:t>
      </w:r>
    </w:p>
  </w:footnote>
  <w:footnote w:id="127">
    <w:p w14:paraId="5BABF58A" w14:textId="1323D143" w:rsidR="007B64C5" w:rsidRPr="007B64C5" w:rsidRDefault="007B64C5" w:rsidP="007B64C5">
      <w:pPr>
        <w:spacing w:after="0"/>
        <w:rPr>
          <w:rFonts w:cs="Calibri"/>
          <w:color w:val="0D0D0D" w:themeColor="text1" w:themeTint="F2"/>
          <w:sz w:val="20"/>
          <w:szCs w:val="20"/>
          <w:shd w:val="clear" w:color="auto" w:fill="FFFFFF"/>
        </w:rPr>
      </w:pPr>
      <w:r w:rsidRPr="007B64C5">
        <w:rPr>
          <w:rStyle w:val="Voetnootmarkering"/>
          <w:sz w:val="20"/>
          <w:szCs w:val="20"/>
        </w:rPr>
        <w:footnoteRef/>
      </w:r>
      <w:r w:rsidRPr="007B64C5">
        <w:rPr>
          <w:sz w:val="20"/>
          <w:szCs w:val="20"/>
        </w:rPr>
        <w:t xml:space="preserve"> </w:t>
      </w:r>
      <w:r w:rsidRPr="007B64C5">
        <w:rPr>
          <w:rFonts w:cs="Calibri"/>
          <w:color w:val="0D0D0D" w:themeColor="text1" w:themeTint="F2"/>
          <w:sz w:val="20"/>
          <w:szCs w:val="20"/>
          <w:shd w:val="clear" w:color="auto" w:fill="FFFFFF"/>
        </w:rPr>
        <w:t xml:space="preserve">Vanderschot, </w:t>
      </w:r>
      <w:r w:rsidRPr="007B64C5">
        <w:rPr>
          <w:rFonts w:cs="Calibri"/>
          <w:i/>
          <w:iCs/>
          <w:color w:val="0D0D0D" w:themeColor="text1" w:themeTint="F2"/>
          <w:sz w:val="20"/>
          <w:szCs w:val="20"/>
          <w:shd w:val="clear" w:color="auto" w:fill="FFFFFF"/>
        </w:rPr>
        <w:t>Contractuele clausules rond de (niet-)uitvoering en de beëindiging van contracten</w:t>
      </w:r>
      <w:r w:rsidRPr="007B64C5">
        <w:rPr>
          <w:rFonts w:cs="Calibri"/>
          <w:color w:val="0D0D0D" w:themeColor="text1" w:themeTint="F2"/>
          <w:sz w:val="20"/>
          <w:szCs w:val="20"/>
          <w:shd w:val="clear" w:color="auto" w:fill="FFFFFF"/>
        </w:rPr>
        <w:t xml:space="preserve"> 2006</w:t>
      </w:r>
      <w:r w:rsidR="00A133E1">
        <w:rPr>
          <w:rFonts w:cs="Calibri"/>
          <w:color w:val="0D0D0D" w:themeColor="text1" w:themeTint="F2"/>
          <w:sz w:val="20"/>
          <w:szCs w:val="20"/>
          <w:shd w:val="clear" w:color="auto" w:fill="FFFFFF"/>
        </w:rPr>
        <w:t>, p. 5.</w:t>
      </w:r>
    </w:p>
  </w:footnote>
  <w:footnote w:id="128">
    <w:p w14:paraId="67F8AE67" w14:textId="56F63FBE" w:rsidR="00F62EE5" w:rsidRDefault="00F62EE5">
      <w:pPr>
        <w:pStyle w:val="Voetnoottekst"/>
      </w:pPr>
      <w:r>
        <w:rPr>
          <w:rStyle w:val="Voetnootmarkering"/>
        </w:rPr>
        <w:footnoteRef/>
      </w:r>
      <w:r>
        <w:t xml:space="preserve"> </w:t>
      </w:r>
      <w:r w:rsidR="007D14AC">
        <w:t xml:space="preserve">Hermans, </w:t>
      </w:r>
      <w:r w:rsidR="007D14AC" w:rsidRPr="00750998">
        <w:rPr>
          <w:i/>
          <w:iCs/>
        </w:rPr>
        <w:t>DAOR</w:t>
      </w:r>
      <w:r w:rsidR="007D14AC">
        <w:t xml:space="preserve"> 2018, p. 74. </w:t>
      </w:r>
    </w:p>
  </w:footnote>
  <w:footnote w:id="129">
    <w:p w14:paraId="46C129D1" w14:textId="1E074B9F" w:rsidR="00CE2328" w:rsidRDefault="00CE2328">
      <w:pPr>
        <w:pStyle w:val="Voetnoottekst"/>
      </w:pPr>
      <w:r>
        <w:rPr>
          <w:rStyle w:val="Voetnootmarkering"/>
        </w:rPr>
        <w:footnoteRef/>
      </w:r>
      <w:r>
        <w:t xml:space="preserve"> Ballon &amp; Van Dormael</w:t>
      </w:r>
      <w:r w:rsidR="00CC2373">
        <w:t xml:space="preserve">, </w:t>
      </w:r>
      <w:r w:rsidR="00CC2373" w:rsidRPr="00EC681E">
        <w:rPr>
          <w:i/>
          <w:iCs/>
        </w:rPr>
        <w:t>Proactief ondernemingsrecht</w:t>
      </w:r>
      <w:r>
        <w:t xml:space="preserve"> 2013, p. 26.</w:t>
      </w:r>
    </w:p>
  </w:footnote>
  <w:footnote w:id="130">
    <w:p w14:paraId="1A1C4DFE" w14:textId="314CDD63" w:rsidR="00F7705B" w:rsidRDefault="00F7705B">
      <w:pPr>
        <w:pStyle w:val="Voetnoottekst"/>
      </w:pPr>
      <w:r>
        <w:rPr>
          <w:rStyle w:val="Voetnootmarkering"/>
        </w:rPr>
        <w:footnoteRef/>
      </w:r>
      <w:r>
        <w:t xml:space="preserve"> </w:t>
      </w:r>
      <w:r w:rsidR="002D3963">
        <w:t>Hof van Beroep Antwerpen</w:t>
      </w:r>
      <w:r w:rsidR="00F95067">
        <w:t xml:space="preserve"> 1</w:t>
      </w:r>
      <w:r w:rsidR="00CD0A57">
        <w:t>5 februari 2023</w:t>
      </w:r>
      <w:r w:rsidR="007423FE">
        <w:t>, C</w:t>
      </w:r>
      <w:r w:rsidR="006770AA">
        <w:t xml:space="preserve">/382/2023. </w:t>
      </w:r>
    </w:p>
  </w:footnote>
  <w:footnote w:id="131">
    <w:p w14:paraId="41E51FFF" w14:textId="45B24BC6" w:rsidR="00ED4C9A" w:rsidRDefault="00ED4C9A">
      <w:pPr>
        <w:pStyle w:val="Voetnoottekst"/>
      </w:pPr>
      <w:r>
        <w:rPr>
          <w:rStyle w:val="Voetnootmarkering"/>
        </w:rPr>
        <w:footnoteRef/>
      </w:r>
      <w:r>
        <w:t xml:space="preserve"> </w:t>
      </w:r>
      <w:r w:rsidR="008F0630">
        <w:t>Volgt bijv. uit: Kh. Dend</w:t>
      </w:r>
      <w:r w:rsidR="00D674F6">
        <w:t>ermonde</w:t>
      </w:r>
      <w:r w:rsidR="00E813EC">
        <w:t xml:space="preserve"> 7 maart 2013, </w:t>
      </w:r>
      <w:r w:rsidR="004E0CDD" w:rsidRPr="004E0CDD">
        <w:rPr>
          <w:i/>
          <w:iCs/>
        </w:rPr>
        <w:t>RW</w:t>
      </w:r>
      <w:r w:rsidR="004E0CDD">
        <w:t xml:space="preserve"> 2016/17, nr. 275.</w:t>
      </w:r>
    </w:p>
  </w:footnote>
  <w:footnote w:id="132">
    <w:p w14:paraId="6EE74247" w14:textId="7CE23889" w:rsidR="000D5E11" w:rsidRDefault="000D5E11">
      <w:pPr>
        <w:pStyle w:val="Voetnoottekst"/>
      </w:pPr>
      <w:r>
        <w:rPr>
          <w:rStyle w:val="Voetnootmarkering"/>
        </w:rPr>
        <w:footnoteRef/>
      </w:r>
      <w:r>
        <w:t xml:space="preserve"> </w:t>
      </w:r>
      <w:r w:rsidR="000467CC">
        <w:t xml:space="preserve">De Wulf e.a., </w:t>
      </w:r>
      <w:r w:rsidR="000467CC" w:rsidRPr="000467CC">
        <w:rPr>
          <w:i/>
          <w:iCs/>
        </w:rPr>
        <w:t>TPR</w:t>
      </w:r>
      <w:r w:rsidR="000467CC">
        <w:t xml:space="preserve"> 2011, p. 974.</w:t>
      </w:r>
    </w:p>
  </w:footnote>
  <w:footnote w:id="133">
    <w:p w14:paraId="413FD3F3" w14:textId="291CB206" w:rsidR="00E15AA5" w:rsidRDefault="00E15AA5" w:rsidP="00E15AA5">
      <w:pPr>
        <w:pStyle w:val="Voetnoottekst"/>
      </w:pPr>
      <w:r>
        <w:rPr>
          <w:rStyle w:val="Voetnootmarkering"/>
        </w:rPr>
        <w:footnoteRef/>
      </w:r>
      <w:r>
        <w:t xml:space="preserve"> Dirix </w:t>
      </w:r>
      <w:r w:rsidR="00B06E02">
        <w:t>en</w:t>
      </w:r>
      <w:r>
        <w:t xml:space="preserve"> Ballon 2012, nr. 373: Bij de beoordeling wordt rekening gehouden met de omstandigheden van de zaak, zoals bv. Het bestaan tussen de partijen van eerder geregelde transacties waarbij de bedingen nooit ter discussie zijn gesteld. </w:t>
      </w:r>
    </w:p>
  </w:footnote>
  <w:footnote w:id="134">
    <w:p w14:paraId="1B5A2FAA" w14:textId="6714C974" w:rsidR="00B06E02" w:rsidRDefault="00B06E02">
      <w:pPr>
        <w:pStyle w:val="Voetnoottekst"/>
      </w:pPr>
      <w:r>
        <w:rPr>
          <w:rStyle w:val="Voetnootmarkering"/>
        </w:rPr>
        <w:footnoteRef/>
      </w:r>
      <w:r>
        <w:t xml:space="preserve"> Dirix en Ballon 2012, nr. 373.</w:t>
      </w:r>
    </w:p>
  </w:footnote>
  <w:footnote w:id="135">
    <w:p w14:paraId="0039B499" w14:textId="77777777" w:rsidR="000A4D28" w:rsidRDefault="000A4D28" w:rsidP="000A4D28">
      <w:pPr>
        <w:pStyle w:val="Voetnoottekst"/>
      </w:pPr>
      <w:r>
        <w:rPr>
          <w:rStyle w:val="Voetnootmarkering"/>
        </w:rPr>
        <w:footnoteRef/>
      </w:r>
      <w:r>
        <w:t xml:space="preserve"> In België lijkt hier een groter onderscheid tussen te worden gemaakt dan Nederland. Voor de omvang en relevantie van de scriptie zal hier verder niet op in worden gegaan. Wordt o.a. wel uitgebreid behandeld in Terryn, </w:t>
      </w:r>
      <w:r w:rsidRPr="0063497D">
        <w:rPr>
          <w:i/>
          <w:iCs/>
        </w:rPr>
        <w:t>TPR</w:t>
      </w:r>
      <w:r>
        <w:t xml:space="preserve"> 2017.</w:t>
      </w:r>
    </w:p>
  </w:footnote>
  <w:footnote w:id="136">
    <w:p w14:paraId="40D1EF07" w14:textId="354B8D78" w:rsidR="000A4D28" w:rsidRDefault="000A4D28" w:rsidP="000A4D28">
      <w:pPr>
        <w:pStyle w:val="Voetnoottekst"/>
      </w:pPr>
      <w:r>
        <w:rPr>
          <w:rStyle w:val="Voetnootmarkering"/>
        </w:rPr>
        <w:footnoteRef/>
      </w:r>
      <w:r>
        <w:t xml:space="preserve"> Cass. 18 juni 2021, </w:t>
      </w:r>
      <w:r w:rsidRPr="00F44A31">
        <w:rPr>
          <w:i/>
          <w:iCs/>
        </w:rPr>
        <w:t>TBBR</w:t>
      </w:r>
      <w:r>
        <w:t xml:space="preserve"> 2021, 532. </w:t>
      </w:r>
    </w:p>
  </w:footnote>
  <w:footnote w:id="137">
    <w:p w14:paraId="50CBC825" w14:textId="77777777" w:rsidR="000A4D28" w:rsidRDefault="000A4D28" w:rsidP="000A4D28">
      <w:pPr>
        <w:pStyle w:val="Voetnoottekst"/>
      </w:pPr>
      <w:r>
        <w:rPr>
          <w:rStyle w:val="Voetnootmarkering"/>
        </w:rPr>
        <w:footnoteRef/>
      </w:r>
      <w:r>
        <w:t xml:space="preserve"> Rb. Antwerpen 31 oktober 2017, </w:t>
      </w:r>
      <w:r w:rsidRPr="00382107">
        <w:rPr>
          <w:i/>
          <w:iCs/>
        </w:rPr>
        <w:t>TBO</w:t>
      </w:r>
      <w:r>
        <w:t xml:space="preserve"> 2018/3, 254. </w:t>
      </w:r>
    </w:p>
  </w:footnote>
  <w:footnote w:id="138">
    <w:p w14:paraId="7F9FCBE9" w14:textId="3F29EFCD" w:rsidR="007622A3" w:rsidRDefault="007622A3">
      <w:pPr>
        <w:pStyle w:val="Voetnoottekst"/>
      </w:pPr>
      <w:r>
        <w:rPr>
          <w:rStyle w:val="Voetnootmarkering"/>
        </w:rPr>
        <w:footnoteRef/>
      </w:r>
      <w:r>
        <w:t xml:space="preserve"> Bijv. Brussel </w:t>
      </w:r>
      <w:r w:rsidR="00E6465A">
        <w:t xml:space="preserve">6 november 2003, </w:t>
      </w:r>
      <w:r w:rsidR="00CC2180" w:rsidRPr="00F44A31">
        <w:rPr>
          <w:i/>
          <w:iCs/>
        </w:rPr>
        <w:t>JLMB</w:t>
      </w:r>
      <w:r w:rsidR="00A4242A">
        <w:t xml:space="preserve"> 2004, 1491 (Samenvatting).</w:t>
      </w:r>
    </w:p>
  </w:footnote>
  <w:footnote w:id="139">
    <w:p w14:paraId="701757A8" w14:textId="77777777" w:rsidR="0036128E" w:rsidRDefault="0036128E" w:rsidP="0036128E">
      <w:pPr>
        <w:pStyle w:val="Voetnoottekst"/>
      </w:pPr>
      <w:r>
        <w:rPr>
          <w:rStyle w:val="Voetnootmarkering"/>
        </w:rPr>
        <w:footnoteRef/>
      </w:r>
      <w:r>
        <w:t xml:space="preserve"> Hof van Cassatie 19 december 2011, </w:t>
      </w:r>
      <w:r w:rsidRPr="00F44A31">
        <w:rPr>
          <w:i/>
          <w:iCs/>
        </w:rPr>
        <w:t>Arr.Cass</w:t>
      </w:r>
      <w:r>
        <w:t xml:space="preserve">. 2011-12, 2664. </w:t>
      </w:r>
    </w:p>
  </w:footnote>
  <w:footnote w:id="140">
    <w:p w14:paraId="03081EAF" w14:textId="032B289E" w:rsidR="00776DB2" w:rsidRDefault="00776DB2">
      <w:pPr>
        <w:pStyle w:val="Voetnoottekst"/>
      </w:pPr>
      <w:r>
        <w:rPr>
          <w:rStyle w:val="Voetnootmarkering"/>
        </w:rPr>
        <w:footnoteRef/>
      </w:r>
      <w:r>
        <w:t xml:space="preserve"> Hermans, </w:t>
      </w:r>
      <w:r w:rsidRPr="00750998">
        <w:rPr>
          <w:i/>
          <w:iCs/>
        </w:rPr>
        <w:t>DAOR</w:t>
      </w:r>
      <w:r>
        <w:t xml:space="preserve"> 2018, p. </w:t>
      </w:r>
      <w:r w:rsidR="00750998">
        <w:t>75.</w:t>
      </w:r>
    </w:p>
  </w:footnote>
  <w:footnote w:id="141">
    <w:p w14:paraId="4A8ABFFE" w14:textId="77777777" w:rsidR="0036128E" w:rsidRDefault="0036128E" w:rsidP="0036128E">
      <w:pPr>
        <w:pStyle w:val="Voetnoottekst"/>
      </w:pPr>
      <w:r>
        <w:rPr>
          <w:rStyle w:val="Voetnootmarkering"/>
        </w:rPr>
        <w:footnoteRef/>
      </w:r>
      <w:r>
        <w:t xml:space="preserve"> Van Ransbeeck, </w:t>
      </w:r>
      <w:r w:rsidRPr="004E2D43">
        <w:rPr>
          <w:i/>
          <w:iCs/>
        </w:rPr>
        <w:t>TBBR/RGDC</w:t>
      </w:r>
      <w:r>
        <w:t xml:space="preserve"> 2013/7, p. 347.</w:t>
      </w:r>
    </w:p>
  </w:footnote>
  <w:footnote w:id="142">
    <w:p w14:paraId="6FE20497" w14:textId="3B342013" w:rsidR="007A2773" w:rsidRDefault="007A2773">
      <w:pPr>
        <w:pStyle w:val="Voetnoottekst"/>
      </w:pPr>
      <w:r>
        <w:rPr>
          <w:rStyle w:val="Voetnootmarkering"/>
        </w:rPr>
        <w:footnoteRef/>
      </w:r>
      <w:r>
        <w:t xml:space="preserve"> </w:t>
      </w:r>
      <w:r w:rsidR="003B076D">
        <w:t>Kh. Hasselt (4</w:t>
      </w:r>
      <w:r w:rsidR="003B076D" w:rsidRPr="003B076D">
        <w:rPr>
          <w:vertAlign w:val="superscript"/>
        </w:rPr>
        <w:t>e</w:t>
      </w:r>
      <w:r w:rsidR="0096233E">
        <w:t xml:space="preserve"> k.) 8 mei 2007, </w:t>
      </w:r>
      <w:r w:rsidR="0096233E" w:rsidRPr="00F44A31">
        <w:rPr>
          <w:i/>
          <w:iCs/>
        </w:rPr>
        <w:t>RW</w:t>
      </w:r>
      <w:r w:rsidR="0096233E">
        <w:t xml:space="preserve"> 2007 afl.</w:t>
      </w:r>
      <w:r w:rsidR="009456C1">
        <w:t>25</w:t>
      </w:r>
      <w:r w:rsidR="00B466F5">
        <w:t xml:space="preserve">, </w:t>
      </w:r>
      <w:r w:rsidR="003F5580">
        <w:t>1047</w:t>
      </w:r>
      <w:r w:rsidR="009456C1">
        <w:t xml:space="preserve">, overw. 5. </w:t>
      </w:r>
    </w:p>
  </w:footnote>
  <w:footnote w:id="143">
    <w:p w14:paraId="3040AEDF" w14:textId="77777777" w:rsidR="00B274CB" w:rsidRDefault="00B274CB" w:rsidP="00B274CB">
      <w:pPr>
        <w:pStyle w:val="Voetnoottekst"/>
      </w:pPr>
      <w:r>
        <w:rPr>
          <w:rStyle w:val="Voetnootmarkering"/>
        </w:rPr>
        <w:footnoteRef/>
      </w:r>
      <w:r>
        <w:t xml:space="preserve"> Het algemene burgerlijk recht van België</w:t>
      </w:r>
    </w:p>
  </w:footnote>
  <w:footnote w:id="144">
    <w:p w14:paraId="3B5EDAB2" w14:textId="2BA92BFD" w:rsidR="00FE4362" w:rsidRPr="002C3DCF" w:rsidRDefault="00FE4362" w:rsidP="002C3DCF">
      <w:pPr>
        <w:spacing w:after="0" w:line="276" w:lineRule="auto"/>
        <w:rPr>
          <w:rFonts w:cs="Calibri"/>
          <w:color w:val="0D0D0D" w:themeColor="text1" w:themeTint="F2"/>
          <w:sz w:val="20"/>
          <w:szCs w:val="20"/>
          <w:shd w:val="clear" w:color="auto" w:fill="FFFFFF"/>
        </w:rPr>
      </w:pPr>
      <w:r w:rsidRPr="00F64E12">
        <w:rPr>
          <w:rStyle w:val="Voetnootmarkering"/>
          <w:sz w:val="20"/>
          <w:szCs w:val="20"/>
        </w:rPr>
        <w:footnoteRef/>
      </w:r>
      <w:r w:rsidRPr="00F64E12">
        <w:rPr>
          <w:sz w:val="20"/>
          <w:szCs w:val="20"/>
        </w:rPr>
        <w:t xml:space="preserve"> </w:t>
      </w:r>
      <w:r w:rsidR="00F64E12" w:rsidRPr="00F64E12">
        <w:rPr>
          <w:rFonts w:cs="Calibri"/>
          <w:color w:val="0D0D0D" w:themeColor="text1" w:themeTint="F2"/>
          <w:sz w:val="20"/>
          <w:szCs w:val="20"/>
          <w:shd w:val="clear" w:color="auto" w:fill="FFFFFF"/>
        </w:rPr>
        <w:t xml:space="preserve">Swaenpoel, </w:t>
      </w:r>
      <w:r w:rsidR="00F64E12" w:rsidRPr="00F64E12">
        <w:rPr>
          <w:rFonts w:cs="Calibri"/>
          <w:i/>
          <w:iCs/>
          <w:color w:val="0D0D0D" w:themeColor="text1" w:themeTint="F2"/>
          <w:sz w:val="20"/>
          <w:szCs w:val="20"/>
          <w:shd w:val="clear" w:color="auto" w:fill="FFFFFF"/>
        </w:rPr>
        <w:t>X, Recht in beweging – Verslagboek 13de VRG-Alumnidag 2006</w:t>
      </w:r>
      <w:r w:rsidR="00F64E12" w:rsidRPr="00F64E12">
        <w:rPr>
          <w:rFonts w:cs="Calibri"/>
          <w:color w:val="0D0D0D" w:themeColor="text1" w:themeTint="F2"/>
          <w:sz w:val="20"/>
          <w:szCs w:val="20"/>
          <w:shd w:val="clear" w:color="auto" w:fill="FFFFFF"/>
        </w:rPr>
        <w:t>, 2006</w:t>
      </w:r>
      <w:r w:rsidR="00F64E12">
        <w:rPr>
          <w:rFonts w:cs="Calibri"/>
          <w:color w:val="0D0D0D" w:themeColor="text1" w:themeTint="F2"/>
          <w:sz w:val="20"/>
          <w:szCs w:val="20"/>
          <w:shd w:val="clear" w:color="auto" w:fill="FFFFFF"/>
        </w:rPr>
        <w:t xml:space="preserve">, p. </w:t>
      </w:r>
      <w:r w:rsidR="00C9391E">
        <w:rPr>
          <w:rFonts w:cs="Calibri"/>
          <w:color w:val="0D0D0D" w:themeColor="text1" w:themeTint="F2"/>
          <w:sz w:val="20"/>
          <w:szCs w:val="20"/>
          <w:shd w:val="clear" w:color="auto" w:fill="FFFFFF"/>
        </w:rPr>
        <w:t>331-356.</w:t>
      </w:r>
    </w:p>
  </w:footnote>
  <w:footnote w:id="145">
    <w:p w14:paraId="222F95EE" w14:textId="77777777" w:rsidR="00A419CE" w:rsidRPr="005D1A7D" w:rsidRDefault="00A419CE" w:rsidP="002C3DCF">
      <w:pPr>
        <w:spacing w:after="0" w:line="276" w:lineRule="auto"/>
        <w:rPr>
          <w:sz w:val="20"/>
          <w:szCs w:val="20"/>
        </w:rPr>
      </w:pPr>
      <w:r w:rsidRPr="005D1A7D">
        <w:rPr>
          <w:rStyle w:val="Voetnootmarkering"/>
          <w:sz w:val="20"/>
          <w:szCs w:val="20"/>
        </w:rPr>
        <w:footnoteRef/>
      </w:r>
      <w:r w:rsidRPr="005D1A7D">
        <w:rPr>
          <w:sz w:val="20"/>
          <w:szCs w:val="20"/>
        </w:rPr>
        <w:t xml:space="preserve"> Cambie, </w:t>
      </w:r>
      <w:r w:rsidRPr="005D1A7D">
        <w:rPr>
          <w:i/>
          <w:iCs/>
          <w:sz w:val="20"/>
          <w:szCs w:val="20"/>
        </w:rPr>
        <w:t>X, Economisch recht. Commentaar met overzicht van rechtspraak en rechtsleer</w:t>
      </w:r>
      <w:r w:rsidRPr="005D1A7D">
        <w:rPr>
          <w:sz w:val="20"/>
          <w:szCs w:val="20"/>
        </w:rPr>
        <w:t xml:space="preserve"> 2023</w:t>
      </w:r>
      <w:r>
        <w:rPr>
          <w:sz w:val="20"/>
          <w:szCs w:val="20"/>
        </w:rPr>
        <w:t>, p.38-39.</w:t>
      </w:r>
    </w:p>
  </w:footnote>
  <w:footnote w:id="146">
    <w:p w14:paraId="48B8CE1E" w14:textId="7C7E1C57" w:rsidR="00E54F45" w:rsidRPr="003D04CD" w:rsidRDefault="00E54F45">
      <w:pPr>
        <w:pStyle w:val="Voetnoottekst"/>
      </w:pPr>
      <w:r>
        <w:rPr>
          <w:rStyle w:val="Voetnootmarkering"/>
        </w:rPr>
        <w:footnoteRef/>
      </w:r>
      <w:r w:rsidRPr="003D04CD">
        <w:t xml:space="preserve"> Rb Gent </w:t>
      </w:r>
      <w:r w:rsidR="003D04CD" w:rsidRPr="003D04CD">
        <w:t xml:space="preserve">13 oktober 2013, </w:t>
      </w:r>
      <w:r w:rsidR="003D04CD" w:rsidRPr="003B48EC">
        <w:rPr>
          <w:i/>
          <w:iCs/>
        </w:rPr>
        <w:t>NJW</w:t>
      </w:r>
      <w:r w:rsidR="003D04CD" w:rsidRPr="003D04CD">
        <w:t xml:space="preserve"> 2004, afl.</w:t>
      </w:r>
      <w:r w:rsidR="003D04CD">
        <w:t xml:space="preserve">63, 313; </w:t>
      </w:r>
      <w:r w:rsidR="00182AA9">
        <w:t xml:space="preserve">Rb Antwerpen 13 januari 2004, </w:t>
      </w:r>
      <w:r w:rsidR="00182AA9" w:rsidRPr="003B48EC">
        <w:rPr>
          <w:i/>
          <w:iCs/>
        </w:rPr>
        <w:t>RW</w:t>
      </w:r>
      <w:r w:rsidR="00182AA9">
        <w:t xml:space="preserve"> 2005-06, 1187; Brusse 3 oktober 2006, </w:t>
      </w:r>
      <w:r w:rsidR="003B48EC" w:rsidRPr="003B48EC">
        <w:rPr>
          <w:i/>
          <w:iCs/>
        </w:rPr>
        <w:t>DAOR</w:t>
      </w:r>
      <w:r w:rsidR="003B48EC">
        <w:t xml:space="preserve"> 2007, afl. 82, 227. </w:t>
      </w:r>
    </w:p>
  </w:footnote>
  <w:footnote w:id="147">
    <w:p w14:paraId="4AA1196A" w14:textId="77777777" w:rsidR="00B274CB" w:rsidRPr="005814CF" w:rsidRDefault="00B274CB" w:rsidP="00B274CB">
      <w:pPr>
        <w:pStyle w:val="Voetnoottekst"/>
      </w:pPr>
      <w:r>
        <w:rPr>
          <w:rStyle w:val="Voetnootmarkering"/>
        </w:rPr>
        <w:footnoteRef/>
      </w:r>
      <w:r w:rsidRPr="007A00FA">
        <w:rPr>
          <w:lang w:val="en-US"/>
        </w:rPr>
        <w:t xml:space="preserve"> Art. III.74 jo. art. </w:t>
      </w:r>
      <w:r w:rsidRPr="0073794B">
        <w:rPr>
          <w:lang w:val="en-US"/>
        </w:rPr>
        <w:t xml:space="preserve">XV.70 jo. art. </w:t>
      </w:r>
      <w:r w:rsidRPr="005814CF">
        <w:t>XV.77 lid 7 WER.</w:t>
      </w:r>
    </w:p>
  </w:footnote>
  <w:footnote w:id="148">
    <w:p w14:paraId="62D73E0D" w14:textId="14026516" w:rsidR="00552611" w:rsidRDefault="00552611">
      <w:pPr>
        <w:pStyle w:val="Voetnoottekst"/>
      </w:pPr>
      <w:r>
        <w:rPr>
          <w:rStyle w:val="Voetnootmarkering"/>
        </w:rPr>
        <w:footnoteRef/>
      </w:r>
      <w:r>
        <w:t xml:space="preserve"> </w:t>
      </w:r>
      <w:r w:rsidR="00EE3338">
        <w:t xml:space="preserve">Rb. Luik 1 oktober 2008, </w:t>
      </w:r>
      <w:r w:rsidR="00EE3338" w:rsidRPr="00C310DD">
        <w:rPr>
          <w:i/>
          <w:iCs/>
        </w:rPr>
        <w:t>DAOR</w:t>
      </w:r>
      <w:r w:rsidR="00EE3338">
        <w:t xml:space="preserve"> 2009, </w:t>
      </w:r>
      <w:r w:rsidR="00C310DD">
        <w:t xml:space="preserve">91. </w:t>
      </w:r>
    </w:p>
  </w:footnote>
  <w:footnote w:id="149">
    <w:p w14:paraId="0257D312" w14:textId="399AAC28" w:rsidR="00B965E6" w:rsidRDefault="00B965E6">
      <w:pPr>
        <w:pStyle w:val="Voetnoottekst"/>
      </w:pPr>
      <w:r>
        <w:rPr>
          <w:rStyle w:val="Voetnootmarkering"/>
        </w:rPr>
        <w:footnoteRef/>
      </w:r>
      <w:r>
        <w:t xml:space="preserve"> </w:t>
      </w:r>
      <w:r w:rsidR="00255F41">
        <w:t xml:space="preserve">Enkels e.a., </w:t>
      </w:r>
      <w:r w:rsidR="00255F41" w:rsidRPr="00255F41">
        <w:rPr>
          <w:i/>
          <w:iCs/>
        </w:rPr>
        <w:t>Algemene voorwaarden</w:t>
      </w:r>
      <w:r w:rsidR="00255F41">
        <w:t xml:space="preserve"> 2012, </w:t>
      </w:r>
      <w:r w:rsidR="001D7762">
        <w:t xml:space="preserve">nr. 68-69. </w:t>
      </w:r>
    </w:p>
  </w:footnote>
  <w:footnote w:id="150">
    <w:p w14:paraId="17173949" w14:textId="6278327C" w:rsidR="00C1468F" w:rsidRDefault="00875114">
      <w:pPr>
        <w:pStyle w:val="Voetnoottekst"/>
      </w:pPr>
      <w:r>
        <w:rPr>
          <w:rStyle w:val="Voetnootmarkering"/>
        </w:rPr>
        <w:footnoteRef/>
      </w:r>
      <w:r>
        <w:t xml:space="preserve"> </w:t>
      </w:r>
      <w:r w:rsidR="00302E2F">
        <w:t xml:space="preserve">De Vulder en Rombouts, </w:t>
      </w:r>
      <w:r w:rsidR="00302E2F" w:rsidRPr="00302E2F">
        <w:rPr>
          <w:i/>
          <w:iCs/>
        </w:rPr>
        <w:t>Algemene voorwaarden</w:t>
      </w:r>
      <w:r w:rsidR="00302E2F">
        <w:t xml:space="preserve"> 2006, </w:t>
      </w:r>
      <w:r w:rsidR="00FE13E9">
        <w:t xml:space="preserve">nr. </w:t>
      </w:r>
      <w:r w:rsidR="00C1468F">
        <w:t>83.</w:t>
      </w:r>
    </w:p>
  </w:footnote>
  <w:footnote w:id="151">
    <w:p w14:paraId="20DA3E55" w14:textId="53943016" w:rsidR="00875114" w:rsidRDefault="00875114">
      <w:pPr>
        <w:pStyle w:val="Voetnoottekst"/>
      </w:pPr>
      <w:r>
        <w:rPr>
          <w:rStyle w:val="Voetnootmarkering"/>
        </w:rPr>
        <w:footnoteRef/>
      </w:r>
      <w:r>
        <w:t xml:space="preserve"> </w:t>
      </w:r>
      <w:r w:rsidR="00C1468F">
        <w:t xml:space="preserve">De Vulder en Rombouts, </w:t>
      </w:r>
      <w:r w:rsidR="00C1468F" w:rsidRPr="00C1468F">
        <w:rPr>
          <w:i/>
          <w:iCs/>
        </w:rPr>
        <w:t>Algemene voorwaarden</w:t>
      </w:r>
      <w:r w:rsidR="00C1468F">
        <w:t xml:space="preserve"> 2006, nr. 79.</w:t>
      </w:r>
    </w:p>
  </w:footnote>
  <w:footnote w:id="152">
    <w:p w14:paraId="59AB180B" w14:textId="2CF032A2" w:rsidR="007435AC" w:rsidRDefault="00055E2A" w:rsidP="007435AC">
      <w:pPr>
        <w:pStyle w:val="Voetnoottekst"/>
      </w:pPr>
      <w:r>
        <w:rPr>
          <w:rStyle w:val="Voetnootmarkering"/>
        </w:rPr>
        <w:footnoteRef/>
      </w:r>
      <w:r>
        <w:t xml:space="preserve"> </w:t>
      </w:r>
      <w:r w:rsidR="007435AC">
        <w:t xml:space="preserve">HvJ EU 30 januari 2018, ECLI:EU:C:2018:44, r.o. 89-95 (Gemeente </w:t>
      </w:r>
      <w:r w:rsidR="007435AC" w:rsidRPr="00341244">
        <w:rPr>
          <w:i/>
          <w:iCs/>
        </w:rPr>
        <w:t>Appingedam</w:t>
      </w:r>
      <w:r w:rsidR="007435AC">
        <w:t xml:space="preserve">) en </w:t>
      </w:r>
      <w:r w:rsidR="008D7828">
        <w:t>HR 2 juni 2023, ECLI:NL:HR:2023:835.</w:t>
      </w:r>
    </w:p>
    <w:p w14:paraId="482C52AA" w14:textId="13C639A3" w:rsidR="00055E2A" w:rsidRDefault="00055E2A">
      <w:pPr>
        <w:pStyle w:val="Voetnoottekst"/>
      </w:pPr>
    </w:p>
  </w:footnote>
  <w:footnote w:id="153">
    <w:p w14:paraId="4BBF20ED" w14:textId="59235797" w:rsidR="001A7D5C" w:rsidRDefault="001A7D5C">
      <w:pPr>
        <w:pStyle w:val="Voetnoottekst"/>
      </w:pPr>
      <w:r>
        <w:rPr>
          <w:rStyle w:val="Voetnootmarkering"/>
        </w:rPr>
        <w:footnoteRef/>
      </w:r>
      <w:r>
        <w:t xml:space="preserve"> </w:t>
      </w:r>
      <w:r w:rsidR="00EE4D1B">
        <w:t>Van</w:t>
      </w:r>
      <w:r w:rsidR="00315045">
        <w:t xml:space="preserve"> Boom, </w:t>
      </w:r>
      <w:r w:rsidR="00315045" w:rsidRPr="009B674B">
        <w:rPr>
          <w:i/>
          <w:iCs/>
        </w:rPr>
        <w:t>AA</w:t>
      </w:r>
      <w:r w:rsidR="00315045">
        <w:t xml:space="preserve"> 2011, p. </w:t>
      </w:r>
      <w:r w:rsidR="009B674B">
        <w:t>731.</w:t>
      </w:r>
    </w:p>
  </w:footnote>
  <w:footnote w:id="154">
    <w:p w14:paraId="3CF406BB" w14:textId="052C8A96" w:rsidR="0055485C" w:rsidRDefault="0055485C">
      <w:pPr>
        <w:pStyle w:val="Voetnoottekst"/>
      </w:pPr>
      <w:r>
        <w:rPr>
          <w:rStyle w:val="Voetnootmarkering"/>
        </w:rPr>
        <w:footnoteRef/>
      </w:r>
      <w:r>
        <w:t xml:space="preserve"> Spanjaard, </w:t>
      </w:r>
      <w:r w:rsidRPr="00A9364E">
        <w:rPr>
          <w:i/>
          <w:iCs/>
        </w:rPr>
        <w:t>ORP</w:t>
      </w:r>
      <w:r>
        <w:t xml:space="preserve"> 2013, p. </w:t>
      </w:r>
      <w:r w:rsidR="007D6A92">
        <w:t>26</w:t>
      </w:r>
      <w:r w:rsidR="007E2230">
        <w:t xml:space="preserve">. </w:t>
      </w:r>
    </w:p>
  </w:footnote>
  <w:footnote w:id="155">
    <w:p w14:paraId="36B48CB8" w14:textId="40AC8A5C" w:rsidR="0022070B" w:rsidRDefault="0022070B">
      <w:pPr>
        <w:pStyle w:val="Voetnoottekst"/>
      </w:pPr>
      <w:r>
        <w:rPr>
          <w:rStyle w:val="Voetnootmarkering"/>
        </w:rPr>
        <w:footnoteRef/>
      </w:r>
      <w:r>
        <w:t xml:space="preserve"> Spanjaard, </w:t>
      </w:r>
      <w:r w:rsidRPr="007E2230">
        <w:rPr>
          <w:i/>
          <w:iCs/>
        </w:rPr>
        <w:t>ORP</w:t>
      </w:r>
      <w:r>
        <w:t xml:space="preserve"> 2013, p. 27. </w:t>
      </w:r>
    </w:p>
  </w:footnote>
  <w:footnote w:id="156">
    <w:p w14:paraId="2A1014B1" w14:textId="77777777" w:rsidR="00A8071C" w:rsidRDefault="00A8071C" w:rsidP="00A8071C">
      <w:pPr>
        <w:pStyle w:val="Voetnoottekst"/>
      </w:pPr>
      <w:r>
        <w:rPr>
          <w:rStyle w:val="Voetnootmarkering"/>
        </w:rPr>
        <w:footnoteRef/>
      </w:r>
      <w:r>
        <w:t xml:space="preserve"> Schaub, </w:t>
      </w:r>
      <w:r w:rsidRPr="007E2230">
        <w:rPr>
          <w:i/>
          <w:iCs/>
        </w:rPr>
        <w:t>NTBR</w:t>
      </w:r>
      <w:r>
        <w:t xml:space="preserve"> 2013, § 5. </w:t>
      </w:r>
    </w:p>
  </w:footnote>
  <w:footnote w:id="157">
    <w:p w14:paraId="42B86360" w14:textId="45C15D8D" w:rsidR="002B5EDB" w:rsidRDefault="002B5EDB">
      <w:pPr>
        <w:pStyle w:val="Voetnoottekst"/>
      </w:pPr>
      <w:r>
        <w:rPr>
          <w:rStyle w:val="Voetnootmarkering"/>
        </w:rPr>
        <w:footnoteRef/>
      </w:r>
      <w:r>
        <w:t xml:space="preserve"> Lodder, </w:t>
      </w:r>
      <w:r w:rsidR="0055463D" w:rsidRPr="007E2230">
        <w:rPr>
          <w:i/>
          <w:iCs/>
        </w:rPr>
        <w:t>Tijdschrift voor internetrecht</w:t>
      </w:r>
      <w:r w:rsidR="0055463D">
        <w:t xml:space="preserve"> 2011, p. 15-17.</w:t>
      </w:r>
    </w:p>
  </w:footnote>
  <w:footnote w:id="158">
    <w:p w14:paraId="08C21A24" w14:textId="7E59F8B1" w:rsidR="00A907BC" w:rsidRDefault="00A907BC">
      <w:pPr>
        <w:pStyle w:val="Voetnoottekst"/>
      </w:pPr>
      <w:r>
        <w:rPr>
          <w:rStyle w:val="Voetnootmarkering"/>
        </w:rPr>
        <w:footnoteRef/>
      </w:r>
      <w:r>
        <w:t xml:space="preserve"> De Graaf, </w:t>
      </w:r>
      <w:r w:rsidRPr="007E2230">
        <w:rPr>
          <w:i/>
          <w:iCs/>
        </w:rPr>
        <w:t>NTBR</w:t>
      </w:r>
      <w:r>
        <w:t xml:space="preserve"> 2018, </w:t>
      </w:r>
      <w:r w:rsidR="00F649DA">
        <w:t xml:space="preserve">§ 6. </w:t>
      </w:r>
    </w:p>
  </w:footnote>
  <w:footnote w:id="159">
    <w:p w14:paraId="00FE7F8F" w14:textId="1CA4D4E8" w:rsidR="002D2B54" w:rsidRDefault="002D2B54">
      <w:pPr>
        <w:pStyle w:val="Voetnoottekst"/>
      </w:pPr>
      <w:r>
        <w:rPr>
          <w:rStyle w:val="Voetnootmarkering"/>
        </w:rPr>
        <w:footnoteRef/>
      </w:r>
      <w:r>
        <w:t xml:space="preserve"> De Graaf, </w:t>
      </w:r>
      <w:r w:rsidRPr="007E2230">
        <w:rPr>
          <w:i/>
          <w:iCs/>
        </w:rPr>
        <w:t>NTBR</w:t>
      </w:r>
      <w:r w:rsidR="00A84E8E">
        <w:t xml:space="preserve"> 2018, § 4. De Graaf doet overigens nog meer voorstellen voor aanpassingen voor informatieplichten in het Burgerlijk wetboek. Voor de omvang van deze scriptie zijn alleen degene besproken die relevant zijn voor </w:t>
      </w:r>
      <w:r w:rsidR="00AF665A">
        <w:t>het scriptieonderwerp</w:t>
      </w:r>
      <w:r w:rsidR="00A84E8E">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C0103"/>
    <w:multiLevelType w:val="multilevel"/>
    <w:tmpl w:val="219CE6D0"/>
    <w:styleLink w:val="Huidigelijst1"/>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CDC126D"/>
    <w:multiLevelType w:val="multilevel"/>
    <w:tmpl w:val="4B3C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9E1"/>
    <w:multiLevelType w:val="hybridMultilevel"/>
    <w:tmpl w:val="6D6402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B51061"/>
    <w:multiLevelType w:val="multilevel"/>
    <w:tmpl w:val="BE38EFC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FEF49F0"/>
    <w:multiLevelType w:val="hybridMultilevel"/>
    <w:tmpl w:val="B516BE6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7E304B"/>
    <w:multiLevelType w:val="multilevel"/>
    <w:tmpl w:val="B5EA60B6"/>
    <w:lvl w:ilvl="0">
      <w:start w:val="6"/>
      <w:numFmt w:val="decimal"/>
      <w:lvlText w:val="%1."/>
      <w:lvlJc w:val="left"/>
      <w:pPr>
        <w:ind w:left="500" w:hanging="5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D526B14"/>
    <w:multiLevelType w:val="hybridMultilevel"/>
    <w:tmpl w:val="C00AED9E"/>
    <w:lvl w:ilvl="0" w:tplc="FFFFFFFF">
      <w:start w:val="1"/>
      <w:numFmt w:val="decimal"/>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D5B3EA6"/>
    <w:multiLevelType w:val="multilevel"/>
    <w:tmpl w:val="453E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155EE"/>
    <w:multiLevelType w:val="hybridMultilevel"/>
    <w:tmpl w:val="B9568752"/>
    <w:lvl w:ilvl="0" w:tplc="A754AA3E">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0217BE"/>
    <w:multiLevelType w:val="multilevel"/>
    <w:tmpl w:val="222A228C"/>
    <w:lvl w:ilvl="0">
      <w:start w:val="1"/>
      <w:numFmt w:val="decimal"/>
      <w:lvlText w:val="%1."/>
      <w:lvlJc w:val="left"/>
      <w:pPr>
        <w:ind w:left="720" w:hanging="360"/>
      </w:pPr>
      <w:rPr>
        <w:rFonts w:asciiTheme="minorHAnsi" w:eastAsiaTheme="minorHAnsi" w:hAnsiTheme="minorHAnsi" w:cstheme="minorBidi"/>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5680CFD"/>
    <w:multiLevelType w:val="multilevel"/>
    <w:tmpl w:val="74E01ECC"/>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EF6D29"/>
    <w:multiLevelType w:val="hybridMultilevel"/>
    <w:tmpl w:val="0C30D19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C0E3823"/>
    <w:multiLevelType w:val="multilevel"/>
    <w:tmpl w:val="3DAA2A4A"/>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numFmt w:val="upperLetter"/>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D5520E6"/>
    <w:multiLevelType w:val="multilevel"/>
    <w:tmpl w:val="5D38B996"/>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lowerLetter"/>
      <w:lvlText w:val="%2."/>
      <w:lvlJc w:val="left"/>
      <w:pPr>
        <w:tabs>
          <w:tab w:val="num" w:pos="643"/>
        </w:tabs>
        <w:ind w:left="643"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19419B4"/>
    <w:multiLevelType w:val="multilevel"/>
    <w:tmpl w:val="9A18F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D01A8"/>
    <w:multiLevelType w:val="hybridMultilevel"/>
    <w:tmpl w:val="08BC79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A4F030A"/>
    <w:multiLevelType w:val="hybridMultilevel"/>
    <w:tmpl w:val="F7C87A70"/>
    <w:lvl w:ilvl="0" w:tplc="8E4449AE">
      <w:start w:val="1"/>
      <w:numFmt w:val="lowerLetter"/>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BA6993"/>
    <w:multiLevelType w:val="multilevel"/>
    <w:tmpl w:val="BFE8B63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upp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5CF1BD0"/>
    <w:multiLevelType w:val="multilevel"/>
    <w:tmpl w:val="5D38B996"/>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lowerLetter"/>
      <w:lvlText w:val="%2."/>
      <w:lvlJc w:val="left"/>
      <w:pPr>
        <w:tabs>
          <w:tab w:val="num" w:pos="643"/>
        </w:tabs>
        <w:ind w:left="643"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65E2B74"/>
    <w:multiLevelType w:val="hybridMultilevel"/>
    <w:tmpl w:val="AA82B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1D45A0"/>
    <w:multiLevelType w:val="multilevel"/>
    <w:tmpl w:val="8B2CA746"/>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D9A1719"/>
    <w:multiLevelType w:val="hybridMultilevel"/>
    <w:tmpl w:val="D86E6B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E2B712B"/>
    <w:multiLevelType w:val="multilevel"/>
    <w:tmpl w:val="9852F2BE"/>
    <w:lvl w:ilvl="0">
      <w:start w:val="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38775AA"/>
    <w:multiLevelType w:val="hybridMultilevel"/>
    <w:tmpl w:val="3B3E0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016FE6"/>
    <w:multiLevelType w:val="hybridMultilevel"/>
    <w:tmpl w:val="96FE1F4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BE3730"/>
    <w:multiLevelType w:val="hybridMultilevel"/>
    <w:tmpl w:val="DABC15B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F25F50"/>
    <w:multiLevelType w:val="multilevel"/>
    <w:tmpl w:val="96F4871C"/>
    <w:lvl w:ilvl="0">
      <w:start w:val="3"/>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CE00DE5"/>
    <w:multiLevelType w:val="multilevel"/>
    <w:tmpl w:val="DB781110"/>
    <w:lvl w:ilvl="0">
      <w:start w:val="1"/>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6175D9"/>
    <w:multiLevelType w:val="multilevel"/>
    <w:tmpl w:val="BE38EFC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DC1458C"/>
    <w:multiLevelType w:val="multilevel"/>
    <w:tmpl w:val="8430B11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EA34004"/>
    <w:multiLevelType w:val="multilevel"/>
    <w:tmpl w:val="F698BF5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1B53D8"/>
    <w:multiLevelType w:val="multilevel"/>
    <w:tmpl w:val="7944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072CFA"/>
    <w:multiLevelType w:val="hybridMultilevel"/>
    <w:tmpl w:val="A8C631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82470C"/>
    <w:multiLevelType w:val="multilevel"/>
    <w:tmpl w:val="96A4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A60DC"/>
    <w:multiLevelType w:val="multilevel"/>
    <w:tmpl w:val="BE38EFC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63"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17849776">
    <w:abstractNumId w:val="25"/>
  </w:num>
  <w:num w:numId="2" w16cid:durableId="459492659">
    <w:abstractNumId w:val="8"/>
  </w:num>
  <w:num w:numId="3" w16cid:durableId="1601716642">
    <w:abstractNumId w:val="34"/>
  </w:num>
  <w:num w:numId="4" w16cid:durableId="642319201">
    <w:abstractNumId w:val="16"/>
  </w:num>
  <w:num w:numId="5" w16cid:durableId="767237846">
    <w:abstractNumId w:val="12"/>
  </w:num>
  <w:num w:numId="6" w16cid:durableId="459424051">
    <w:abstractNumId w:val="30"/>
  </w:num>
  <w:num w:numId="7" w16cid:durableId="416753522">
    <w:abstractNumId w:val="15"/>
  </w:num>
  <w:num w:numId="8" w16cid:durableId="2013340008">
    <w:abstractNumId w:val="24"/>
  </w:num>
  <w:num w:numId="9" w16cid:durableId="1099064068">
    <w:abstractNumId w:val="4"/>
  </w:num>
  <w:num w:numId="10" w16cid:durableId="10495533">
    <w:abstractNumId w:val="32"/>
  </w:num>
  <w:num w:numId="11" w16cid:durableId="1475685260">
    <w:abstractNumId w:val="1"/>
  </w:num>
  <w:num w:numId="12" w16cid:durableId="1691494692">
    <w:abstractNumId w:val="14"/>
  </w:num>
  <w:num w:numId="13" w16cid:durableId="593439208">
    <w:abstractNumId w:val="27"/>
  </w:num>
  <w:num w:numId="14" w16cid:durableId="887180775">
    <w:abstractNumId w:val="17"/>
  </w:num>
  <w:num w:numId="15" w16cid:durableId="259069387">
    <w:abstractNumId w:val="9"/>
  </w:num>
  <w:num w:numId="16" w16cid:durableId="725377695">
    <w:abstractNumId w:val="6"/>
  </w:num>
  <w:num w:numId="17" w16cid:durableId="1092050013">
    <w:abstractNumId w:val="33"/>
  </w:num>
  <w:num w:numId="18" w16cid:durableId="1507205411">
    <w:abstractNumId w:val="7"/>
  </w:num>
  <w:num w:numId="19" w16cid:durableId="1556813076">
    <w:abstractNumId w:val="31"/>
  </w:num>
  <w:num w:numId="20" w16cid:durableId="1612056181">
    <w:abstractNumId w:val="21"/>
  </w:num>
  <w:num w:numId="21" w16cid:durableId="745734350">
    <w:abstractNumId w:val="23"/>
  </w:num>
  <w:num w:numId="22" w16cid:durableId="1386223079">
    <w:abstractNumId w:val="11"/>
  </w:num>
  <w:num w:numId="23" w16cid:durableId="134371831">
    <w:abstractNumId w:val="22"/>
  </w:num>
  <w:num w:numId="24" w16cid:durableId="1817603864">
    <w:abstractNumId w:val="26"/>
  </w:num>
  <w:num w:numId="25" w16cid:durableId="763577260">
    <w:abstractNumId w:val="29"/>
  </w:num>
  <w:num w:numId="26" w16cid:durableId="1523351387">
    <w:abstractNumId w:val="5"/>
  </w:num>
  <w:num w:numId="27" w16cid:durableId="183708362">
    <w:abstractNumId w:val="2"/>
  </w:num>
  <w:num w:numId="28" w16cid:durableId="1263151364">
    <w:abstractNumId w:val="20"/>
  </w:num>
  <w:num w:numId="29" w16cid:durableId="93525649">
    <w:abstractNumId w:val="13"/>
  </w:num>
  <w:num w:numId="30" w16cid:durableId="1901676169">
    <w:abstractNumId w:val="10"/>
  </w:num>
  <w:num w:numId="31" w16cid:durableId="1955088155">
    <w:abstractNumId w:val="0"/>
  </w:num>
  <w:num w:numId="32" w16cid:durableId="417335885">
    <w:abstractNumId w:val="19"/>
  </w:num>
  <w:num w:numId="33" w16cid:durableId="156580439">
    <w:abstractNumId w:val="18"/>
  </w:num>
  <w:num w:numId="34" w16cid:durableId="479464274">
    <w:abstractNumId w:val="28"/>
  </w:num>
  <w:num w:numId="35" w16cid:durableId="258637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E6"/>
    <w:rsid w:val="000004A4"/>
    <w:rsid w:val="000007B9"/>
    <w:rsid w:val="00000D04"/>
    <w:rsid w:val="00000F57"/>
    <w:rsid w:val="000020BB"/>
    <w:rsid w:val="000024B6"/>
    <w:rsid w:val="000034AA"/>
    <w:rsid w:val="00003885"/>
    <w:rsid w:val="000038D2"/>
    <w:rsid w:val="00003B34"/>
    <w:rsid w:val="00003C91"/>
    <w:rsid w:val="00004216"/>
    <w:rsid w:val="00004623"/>
    <w:rsid w:val="00005029"/>
    <w:rsid w:val="00005650"/>
    <w:rsid w:val="0000565D"/>
    <w:rsid w:val="00005880"/>
    <w:rsid w:val="000058FF"/>
    <w:rsid w:val="00005BF2"/>
    <w:rsid w:val="00005BFD"/>
    <w:rsid w:val="00005D1F"/>
    <w:rsid w:val="000061A9"/>
    <w:rsid w:val="0000656B"/>
    <w:rsid w:val="000067DE"/>
    <w:rsid w:val="00006B9A"/>
    <w:rsid w:val="00010C2F"/>
    <w:rsid w:val="00010D64"/>
    <w:rsid w:val="0001165A"/>
    <w:rsid w:val="000116AF"/>
    <w:rsid w:val="00011CC0"/>
    <w:rsid w:val="00011DA2"/>
    <w:rsid w:val="0001261C"/>
    <w:rsid w:val="00012D51"/>
    <w:rsid w:val="00012F11"/>
    <w:rsid w:val="00012FDC"/>
    <w:rsid w:val="00013600"/>
    <w:rsid w:val="00013E9E"/>
    <w:rsid w:val="0001602A"/>
    <w:rsid w:val="000160FF"/>
    <w:rsid w:val="00016100"/>
    <w:rsid w:val="00016675"/>
    <w:rsid w:val="000169F7"/>
    <w:rsid w:val="00017443"/>
    <w:rsid w:val="00017639"/>
    <w:rsid w:val="00017AE1"/>
    <w:rsid w:val="00017FED"/>
    <w:rsid w:val="000202E5"/>
    <w:rsid w:val="00020676"/>
    <w:rsid w:val="00020862"/>
    <w:rsid w:val="00020EA4"/>
    <w:rsid w:val="00022A5A"/>
    <w:rsid w:val="00022BA9"/>
    <w:rsid w:val="00022CE3"/>
    <w:rsid w:val="00022DF1"/>
    <w:rsid w:val="00023463"/>
    <w:rsid w:val="00023FD2"/>
    <w:rsid w:val="0002448F"/>
    <w:rsid w:val="000244AA"/>
    <w:rsid w:val="00024EE2"/>
    <w:rsid w:val="000252B7"/>
    <w:rsid w:val="00025507"/>
    <w:rsid w:val="00025792"/>
    <w:rsid w:val="00025959"/>
    <w:rsid w:val="00025B79"/>
    <w:rsid w:val="00025BE4"/>
    <w:rsid w:val="00026AB3"/>
    <w:rsid w:val="0002782F"/>
    <w:rsid w:val="000278A0"/>
    <w:rsid w:val="0003142A"/>
    <w:rsid w:val="00031C70"/>
    <w:rsid w:val="00031FC4"/>
    <w:rsid w:val="000323C1"/>
    <w:rsid w:val="00032979"/>
    <w:rsid w:val="00032F4C"/>
    <w:rsid w:val="000334EE"/>
    <w:rsid w:val="00033C4A"/>
    <w:rsid w:val="0003477E"/>
    <w:rsid w:val="0003633F"/>
    <w:rsid w:val="00036605"/>
    <w:rsid w:val="00036993"/>
    <w:rsid w:val="00041299"/>
    <w:rsid w:val="00041A71"/>
    <w:rsid w:val="000423C6"/>
    <w:rsid w:val="00042541"/>
    <w:rsid w:val="00042860"/>
    <w:rsid w:val="00043A88"/>
    <w:rsid w:val="00043BEA"/>
    <w:rsid w:val="0004450B"/>
    <w:rsid w:val="00044FC1"/>
    <w:rsid w:val="00045217"/>
    <w:rsid w:val="000458C5"/>
    <w:rsid w:val="00046196"/>
    <w:rsid w:val="000467CC"/>
    <w:rsid w:val="000474C5"/>
    <w:rsid w:val="00047863"/>
    <w:rsid w:val="000478A7"/>
    <w:rsid w:val="00047D35"/>
    <w:rsid w:val="00047EF7"/>
    <w:rsid w:val="0005205F"/>
    <w:rsid w:val="00052CDB"/>
    <w:rsid w:val="000530D7"/>
    <w:rsid w:val="00053592"/>
    <w:rsid w:val="000539CD"/>
    <w:rsid w:val="00053BEB"/>
    <w:rsid w:val="00054374"/>
    <w:rsid w:val="00054398"/>
    <w:rsid w:val="0005507B"/>
    <w:rsid w:val="00055174"/>
    <w:rsid w:val="00055E2A"/>
    <w:rsid w:val="00055E4E"/>
    <w:rsid w:val="00056594"/>
    <w:rsid w:val="0005678E"/>
    <w:rsid w:val="000567F6"/>
    <w:rsid w:val="00057093"/>
    <w:rsid w:val="00057189"/>
    <w:rsid w:val="000577B7"/>
    <w:rsid w:val="00057C62"/>
    <w:rsid w:val="00060406"/>
    <w:rsid w:val="00060780"/>
    <w:rsid w:val="00060786"/>
    <w:rsid w:val="00062280"/>
    <w:rsid w:val="00062320"/>
    <w:rsid w:val="000636B0"/>
    <w:rsid w:val="00065DA3"/>
    <w:rsid w:val="00065DEC"/>
    <w:rsid w:val="00066E28"/>
    <w:rsid w:val="000706B7"/>
    <w:rsid w:val="00070824"/>
    <w:rsid w:val="00071E9A"/>
    <w:rsid w:val="000720EA"/>
    <w:rsid w:val="00073795"/>
    <w:rsid w:val="00073BDA"/>
    <w:rsid w:val="00074546"/>
    <w:rsid w:val="000752FA"/>
    <w:rsid w:val="00075322"/>
    <w:rsid w:val="00075998"/>
    <w:rsid w:val="000760C3"/>
    <w:rsid w:val="00076192"/>
    <w:rsid w:val="00076C59"/>
    <w:rsid w:val="00077E6B"/>
    <w:rsid w:val="0008025C"/>
    <w:rsid w:val="000804D0"/>
    <w:rsid w:val="00080819"/>
    <w:rsid w:val="00082138"/>
    <w:rsid w:val="00082594"/>
    <w:rsid w:val="000825F3"/>
    <w:rsid w:val="000828B7"/>
    <w:rsid w:val="00082FEF"/>
    <w:rsid w:val="000835B6"/>
    <w:rsid w:val="00083D5A"/>
    <w:rsid w:val="0008418B"/>
    <w:rsid w:val="00086AB2"/>
    <w:rsid w:val="00087025"/>
    <w:rsid w:val="00087076"/>
    <w:rsid w:val="0008786B"/>
    <w:rsid w:val="00087BC3"/>
    <w:rsid w:val="00087C8F"/>
    <w:rsid w:val="00087E4C"/>
    <w:rsid w:val="000900A1"/>
    <w:rsid w:val="00090776"/>
    <w:rsid w:val="00090875"/>
    <w:rsid w:val="00090B01"/>
    <w:rsid w:val="00090BEF"/>
    <w:rsid w:val="000910C1"/>
    <w:rsid w:val="00091374"/>
    <w:rsid w:val="000918AF"/>
    <w:rsid w:val="00091A96"/>
    <w:rsid w:val="0009416B"/>
    <w:rsid w:val="00094A49"/>
    <w:rsid w:val="00094AD0"/>
    <w:rsid w:val="00095211"/>
    <w:rsid w:val="00095582"/>
    <w:rsid w:val="00095A09"/>
    <w:rsid w:val="0009615E"/>
    <w:rsid w:val="000A03F7"/>
    <w:rsid w:val="000A0687"/>
    <w:rsid w:val="000A06A9"/>
    <w:rsid w:val="000A0C0A"/>
    <w:rsid w:val="000A1060"/>
    <w:rsid w:val="000A1C76"/>
    <w:rsid w:val="000A1F18"/>
    <w:rsid w:val="000A2106"/>
    <w:rsid w:val="000A289E"/>
    <w:rsid w:val="000A34C7"/>
    <w:rsid w:val="000A45B3"/>
    <w:rsid w:val="000A4A3E"/>
    <w:rsid w:val="000A4D28"/>
    <w:rsid w:val="000A4DDA"/>
    <w:rsid w:val="000A6E29"/>
    <w:rsid w:val="000A7505"/>
    <w:rsid w:val="000B01A2"/>
    <w:rsid w:val="000B0FE3"/>
    <w:rsid w:val="000B1E72"/>
    <w:rsid w:val="000B263C"/>
    <w:rsid w:val="000B4143"/>
    <w:rsid w:val="000B621E"/>
    <w:rsid w:val="000B6BF2"/>
    <w:rsid w:val="000B6EFD"/>
    <w:rsid w:val="000B7FEA"/>
    <w:rsid w:val="000C0957"/>
    <w:rsid w:val="000C0F21"/>
    <w:rsid w:val="000C21D1"/>
    <w:rsid w:val="000C2C8D"/>
    <w:rsid w:val="000C2E92"/>
    <w:rsid w:val="000C31CD"/>
    <w:rsid w:val="000C341A"/>
    <w:rsid w:val="000C3826"/>
    <w:rsid w:val="000C38F5"/>
    <w:rsid w:val="000C4ECB"/>
    <w:rsid w:val="000C586C"/>
    <w:rsid w:val="000C612E"/>
    <w:rsid w:val="000C6781"/>
    <w:rsid w:val="000C713C"/>
    <w:rsid w:val="000D1165"/>
    <w:rsid w:val="000D12CB"/>
    <w:rsid w:val="000D1CBC"/>
    <w:rsid w:val="000D1DB7"/>
    <w:rsid w:val="000D21D2"/>
    <w:rsid w:val="000D2D53"/>
    <w:rsid w:val="000D3823"/>
    <w:rsid w:val="000D4654"/>
    <w:rsid w:val="000D4874"/>
    <w:rsid w:val="000D4979"/>
    <w:rsid w:val="000D52D6"/>
    <w:rsid w:val="000D5E11"/>
    <w:rsid w:val="000D5F25"/>
    <w:rsid w:val="000D646C"/>
    <w:rsid w:val="000D64F8"/>
    <w:rsid w:val="000D69B5"/>
    <w:rsid w:val="000D749E"/>
    <w:rsid w:val="000D79E7"/>
    <w:rsid w:val="000D7C6F"/>
    <w:rsid w:val="000E0370"/>
    <w:rsid w:val="000E0D39"/>
    <w:rsid w:val="000E107A"/>
    <w:rsid w:val="000E11E4"/>
    <w:rsid w:val="000E16B1"/>
    <w:rsid w:val="000E1A20"/>
    <w:rsid w:val="000E1BC6"/>
    <w:rsid w:val="000E1CD1"/>
    <w:rsid w:val="000E1E80"/>
    <w:rsid w:val="000E278E"/>
    <w:rsid w:val="000E293E"/>
    <w:rsid w:val="000E3053"/>
    <w:rsid w:val="000E346B"/>
    <w:rsid w:val="000E37F1"/>
    <w:rsid w:val="000E50C4"/>
    <w:rsid w:val="000E5402"/>
    <w:rsid w:val="000E5579"/>
    <w:rsid w:val="000E5994"/>
    <w:rsid w:val="000E5C61"/>
    <w:rsid w:val="000E5C9C"/>
    <w:rsid w:val="000E6D7B"/>
    <w:rsid w:val="000E6F88"/>
    <w:rsid w:val="000E7D8A"/>
    <w:rsid w:val="000F06E7"/>
    <w:rsid w:val="000F099B"/>
    <w:rsid w:val="000F0AB9"/>
    <w:rsid w:val="000F156F"/>
    <w:rsid w:val="000F220A"/>
    <w:rsid w:val="000F2FEC"/>
    <w:rsid w:val="000F3928"/>
    <w:rsid w:val="000F3E2B"/>
    <w:rsid w:val="000F3F16"/>
    <w:rsid w:val="000F4493"/>
    <w:rsid w:val="000F4615"/>
    <w:rsid w:val="000F4AA2"/>
    <w:rsid w:val="000F50BE"/>
    <w:rsid w:val="000F56E0"/>
    <w:rsid w:val="000F5730"/>
    <w:rsid w:val="000F5E45"/>
    <w:rsid w:val="000F623B"/>
    <w:rsid w:val="000F7783"/>
    <w:rsid w:val="000F7E63"/>
    <w:rsid w:val="001005CD"/>
    <w:rsid w:val="00100EB1"/>
    <w:rsid w:val="0010160E"/>
    <w:rsid w:val="00102677"/>
    <w:rsid w:val="00102702"/>
    <w:rsid w:val="001031B7"/>
    <w:rsid w:val="00103D4E"/>
    <w:rsid w:val="00104E75"/>
    <w:rsid w:val="0010514E"/>
    <w:rsid w:val="0010657E"/>
    <w:rsid w:val="00106A3F"/>
    <w:rsid w:val="00107561"/>
    <w:rsid w:val="00107879"/>
    <w:rsid w:val="001079EC"/>
    <w:rsid w:val="00107A66"/>
    <w:rsid w:val="00107D91"/>
    <w:rsid w:val="00110221"/>
    <w:rsid w:val="001102CA"/>
    <w:rsid w:val="0011056C"/>
    <w:rsid w:val="00110685"/>
    <w:rsid w:val="00110840"/>
    <w:rsid w:val="00110882"/>
    <w:rsid w:val="00110A93"/>
    <w:rsid w:val="00111758"/>
    <w:rsid w:val="00111C35"/>
    <w:rsid w:val="00111F95"/>
    <w:rsid w:val="001122DF"/>
    <w:rsid w:val="00113056"/>
    <w:rsid w:val="001130D6"/>
    <w:rsid w:val="001132EB"/>
    <w:rsid w:val="00113434"/>
    <w:rsid w:val="001134D4"/>
    <w:rsid w:val="001137DD"/>
    <w:rsid w:val="00113934"/>
    <w:rsid w:val="001139EE"/>
    <w:rsid w:val="00113D60"/>
    <w:rsid w:val="00114A5B"/>
    <w:rsid w:val="00115090"/>
    <w:rsid w:val="001157EB"/>
    <w:rsid w:val="00115EC5"/>
    <w:rsid w:val="00116B56"/>
    <w:rsid w:val="00116EAD"/>
    <w:rsid w:val="00116F7A"/>
    <w:rsid w:val="00117B2B"/>
    <w:rsid w:val="00120201"/>
    <w:rsid w:val="0012023E"/>
    <w:rsid w:val="0012033A"/>
    <w:rsid w:val="00120885"/>
    <w:rsid w:val="001210C8"/>
    <w:rsid w:val="001215A8"/>
    <w:rsid w:val="00121B6B"/>
    <w:rsid w:val="00121F16"/>
    <w:rsid w:val="00121FC8"/>
    <w:rsid w:val="001223EE"/>
    <w:rsid w:val="00122428"/>
    <w:rsid w:val="0012259A"/>
    <w:rsid w:val="0012308D"/>
    <w:rsid w:val="00123AE9"/>
    <w:rsid w:val="00123D77"/>
    <w:rsid w:val="00124A38"/>
    <w:rsid w:val="0012573E"/>
    <w:rsid w:val="00125FF8"/>
    <w:rsid w:val="00126BD0"/>
    <w:rsid w:val="0012745E"/>
    <w:rsid w:val="0012780A"/>
    <w:rsid w:val="00127C59"/>
    <w:rsid w:val="001300F8"/>
    <w:rsid w:val="00130F6D"/>
    <w:rsid w:val="00131D4A"/>
    <w:rsid w:val="00131FA0"/>
    <w:rsid w:val="001324A1"/>
    <w:rsid w:val="00132BAC"/>
    <w:rsid w:val="00135452"/>
    <w:rsid w:val="00135597"/>
    <w:rsid w:val="00135779"/>
    <w:rsid w:val="00136442"/>
    <w:rsid w:val="0013669F"/>
    <w:rsid w:val="00136A62"/>
    <w:rsid w:val="00136F79"/>
    <w:rsid w:val="00137351"/>
    <w:rsid w:val="001402C8"/>
    <w:rsid w:val="00140AC1"/>
    <w:rsid w:val="001418CA"/>
    <w:rsid w:val="00141A1F"/>
    <w:rsid w:val="0014224F"/>
    <w:rsid w:val="00142A75"/>
    <w:rsid w:val="00143265"/>
    <w:rsid w:val="00144151"/>
    <w:rsid w:val="00144AB0"/>
    <w:rsid w:val="0014621E"/>
    <w:rsid w:val="0014632A"/>
    <w:rsid w:val="00147490"/>
    <w:rsid w:val="00147591"/>
    <w:rsid w:val="001477F2"/>
    <w:rsid w:val="00147853"/>
    <w:rsid w:val="00150715"/>
    <w:rsid w:val="0015095C"/>
    <w:rsid w:val="001511B3"/>
    <w:rsid w:val="0015206C"/>
    <w:rsid w:val="0015231C"/>
    <w:rsid w:val="00152921"/>
    <w:rsid w:val="00152BD4"/>
    <w:rsid w:val="001531E4"/>
    <w:rsid w:val="001538E8"/>
    <w:rsid w:val="00153957"/>
    <w:rsid w:val="00154088"/>
    <w:rsid w:val="00154153"/>
    <w:rsid w:val="00154203"/>
    <w:rsid w:val="001544C2"/>
    <w:rsid w:val="001551D4"/>
    <w:rsid w:val="001552D4"/>
    <w:rsid w:val="001553F5"/>
    <w:rsid w:val="00155537"/>
    <w:rsid w:val="0015562A"/>
    <w:rsid w:val="00155F11"/>
    <w:rsid w:val="00156700"/>
    <w:rsid w:val="001567B6"/>
    <w:rsid w:val="00156B2E"/>
    <w:rsid w:val="00156B9F"/>
    <w:rsid w:val="00160C8E"/>
    <w:rsid w:val="0016103F"/>
    <w:rsid w:val="001613BA"/>
    <w:rsid w:val="001625DF"/>
    <w:rsid w:val="00162668"/>
    <w:rsid w:val="001628B4"/>
    <w:rsid w:val="00163F7A"/>
    <w:rsid w:val="00164313"/>
    <w:rsid w:val="001646FC"/>
    <w:rsid w:val="00164708"/>
    <w:rsid w:val="00164FA6"/>
    <w:rsid w:val="0016624D"/>
    <w:rsid w:val="00166763"/>
    <w:rsid w:val="00166E1B"/>
    <w:rsid w:val="00166F9E"/>
    <w:rsid w:val="00167325"/>
    <w:rsid w:val="00167D4D"/>
    <w:rsid w:val="00170219"/>
    <w:rsid w:val="001704B6"/>
    <w:rsid w:val="0017068F"/>
    <w:rsid w:val="00170771"/>
    <w:rsid w:val="00170B4B"/>
    <w:rsid w:val="00170CC1"/>
    <w:rsid w:val="00171981"/>
    <w:rsid w:val="00172388"/>
    <w:rsid w:val="0017265D"/>
    <w:rsid w:val="00173353"/>
    <w:rsid w:val="00173F9D"/>
    <w:rsid w:val="00175AE2"/>
    <w:rsid w:val="00175E18"/>
    <w:rsid w:val="00175FAB"/>
    <w:rsid w:val="0017699E"/>
    <w:rsid w:val="00176E5A"/>
    <w:rsid w:val="00177146"/>
    <w:rsid w:val="00180EC3"/>
    <w:rsid w:val="00181701"/>
    <w:rsid w:val="00182AA9"/>
    <w:rsid w:val="00182C21"/>
    <w:rsid w:val="00183D18"/>
    <w:rsid w:val="001840C9"/>
    <w:rsid w:val="00184791"/>
    <w:rsid w:val="00184D79"/>
    <w:rsid w:val="00185022"/>
    <w:rsid w:val="00185AD1"/>
    <w:rsid w:val="001861BB"/>
    <w:rsid w:val="001868E3"/>
    <w:rsid w:val="001868ED"/>
    <w:rsid w:val="001868F5"/>
    <w:rsid w:val="00186B04"/>
    <w:rsid w:val="00190466"/>
    <w:rsid w:val="0019064C"/>
    <w:rsid w:val="00190B9D"/>
    <w:rsid w:val="001918D6"/>
    <w:rsid w:val="00191B1D"/>
    <w:rsid w:val="00191D4C"/>
    <w:rsid w:val="00193504"/>
    <w:rsid w:val="00193583"/>
    <w:rsid w:val="00194DCA"/>
    <w:rsid w:val="00195190"/>
    <w:rsid w:val="0019572D"/>
    <w:rsid w:val="001959D7"/>
    <w:rsid w:val="00195D55"/>
    <w:rsid w:val="001960D1"/>
    <w:rsid w:val="00196B59"/>
    <w:rsid w:val="00196BD8"/>
    <w:rsid w:val="001A0CBA"/>
    <w:rsid w:val="001A15A5"/>
    <w:rsid w:val="001A1D76"/>
    <w:rsid w:val="001A2A77"/>
    <w:rsid w:val="001A3D4E"/>
    <w:rsid w:val="001A401B"/>
    <w:rsid w:val="001A4487"/>
    <w:rsid w:val="001A497B"/>
    <w:rsid w:val="001A5D83"/>
    <w:rsid w:val="001A608E"/>
    <w:rsid w:val="001A60D4"/>
    <w:rsid w:val="001A651B"/>
    <w:rsid w:val="001A6637"/>
    <w:rsid w:val="001A6642"/>
    <w:rsid w:val="001A76E0"/>
    <w:rsid w:val="001A784E"/>
    <w:rsid w:val="001A788E"/>
    <w:rsid w:val="001A7D5C"/>
    <w:rsid w:val="001B0B33"/>
    <w:rsid w:val="001B1251"/>
    <w:rsid w:val="001B140C"/>
    <w:rsid w:val="001B1A4B"/>
    <w:rsid w:val="001B216F"/>
    <w:rsid w:val="001B2C5F"/>
    <w:rsid w:val="001B301E"/>
    <w:rsid w:val="001B319F"/>
    <w:rsid w:val="001B34C6"/>
    <w:rsid w:val="001B356A"/>
    <w:rsid w:val="001B397E"/>
    <w:rsid w:val="001B46FE"/>
    <w:rsid w:val="001B4C84"/>
    <w:rsid w:val="001B5E8B"/>
    <w:rsid w:val="001B5FB2"/>
    <w:rsid w:val="001B7775"/>
    <w:rsid w:val="001C0616"/>
    <w:rsid w:val="001C07D9"/>
    <w:rsid w:val="001C1009"/>
    <w:rsid w:val="001C14CE"/>
    <w:rsid w:val="001C211A"/>
    <w:rsid w:val="001C2A87"/>
    <w:rsid w:val="001C3C35"/>
    <w:rsid w:val="001C485C"/>
    <w:rsid w:val="001C51DB"/>
    <w:rsid w:val="001C5336"/>
    <w:rsid w:val="001C6348"/>
    <w:rsid w:val="001C6556"/>
    <w:rsid w:val="001C688E"/>
    <w:rsid w:val="001C6C1E"/>
    <w:rsid w:val="001C7113"/>
    <w:rsid w:val="001D024F"/>
    <w:rsid w:val="001D0882"/>
    <w:rsid w:val="001D09FD"/>
    <w:rsid w:val="001D17DE"/>
    <w:rsid w:val="001D1A6B"/>
    <w:rsid w:val="001D2B37"/>
    <w:rsid w:val="001D2E1F"/>
    <w:rsid w:val="001D3CF3"/>
    <w:rsid w:val="001D416F"/>
    <w:rsid w:val="001D41AC"/>
    <w:rsid w:val="001D435E"/>
    <w:rsid w:val="001D51C5"/>
    <w:rsid w:val="001D5805"/>
    <w:rsid w:val="001D5D79"/>
    <w:rsid w:val="001D6323"/>
    <w:rsid w:val="001D6C53"/>
    <w:rsid w:val="001D703F"/>
    <w:rsid w:val="001D73BA"/>
    <w:rsid w:val="001D76E5"/>
    <w:rsid w:val="001D7739"/>
    <w:rsid w:val="001D7762"/>
    <w:rsid w:val="001E0E68"/>
    <w:rsid w:val="001E0FFB"/>
    <w:rsid w:val="001E1AC7"/>
    <w:rsid w:val="001E1E1C"/>
    <w:rsid w:val="001E2722"/>
    <w:rsid w:val="001E2799"/>
    <w:rsid w:val="001E2BCE"/>
    <w:rsid w:val="001E382E"/>
    <w:rsid w:val="001E4285"/>
    <w:rsid w:val="001E488C"/>
    <w:rsid w:val="001E6630"/>
    <w:rsid w:val="001E6739"/>
    <w:rsid w:val="001F017C"/>
    <w:rsid w:val="001F017F"/>
    <w:rsid w:val="001F01AB"/>
    <w:rsid w:val="001F0F00"/>
    <w:rsid w:val="001F1463"/>
    <w:rsid w:val="001F1F7D"/>
    <w:rsid w:val="001F36A7"/>
    <w:rsid w:val="001F3B85"/>
    <w:rsid w:val="001F3BA6"/>
    <w:rsid w:val="001F3F29"/>
    <w:rsid w:val="001F5CF3"/>
    <w:rsid w:val="001F5DB4"/>
    <w:rsid w:val="001F62CC"/>
    <w:rsid w:val="001F7343"/>
    <w:rsid w:val="002007E4"/>
    <w:rsid w:val="00200A95"/>
    <w:rsid w:val="00200CC4"/>
    <w:rsid w:val="00202225"/>
    <w:rsid w:val="0020284D"/>
    <w:rsid w:val="00204079"/>
    <w:rsid w:val="0020422F"/>
    <w:rsid w:val="00204624"/>
    <w:rsid w:val="00204CE6"/>
    <w:rsid w:val="002057EC"/>
    <w:rsid w:val="00205E18"/>
    <w:rsid w:val="00206029"/>
    <w:rsid w:val="00206DA0"/>
    <w:rsid w:val="00206DD5"/>
    <w:rsid w:val="002108AC"/>
    <w:rsid w:val="002120B2"/>
    <w:rsid w:val="0021304B"/>
    <w:rsid w:val="002130C5"/>
    <w:rsid w:val="0021355A"/>
    <w:rsid w:val="0021364C"/>
    <w:rsid w:val="00213CF2"/>
    <w:rsid w:val="00213D12"/>
    <w:rsid w:val="00214E1B"/>
    <w:rsid w:val="00215A16"/>
    <w:rsid w:val="00215A6E"/>
    <w:rsid w:val="00215CDD"/>
    <w:rsid w:val="00215D36"/>
    <w:rsid w:val="00215F7E"/>
    <w:rsid w:val="00216F2F"/>
    <w:rsid w:val="00217525"/>
    <w:rsid w:val="00217A19"/>
    <w:rsid w:val="00217DD7"/>
    <w:rsid w:val="00217F92"/>
    <w:rsid w:val="0022068E"/>
    <w:rsid w:val="0022070B"/>
    <w:rsid w:val="002207BF"/>
    <w:rsid w:val="00221BDC"/>
    <w:rsid w:val="0022310E"/>
    <w:rsid w:val="002235C0"/>
    <w:rsid w:val="0022392B"/>
    <w:rsid w:val="00224FA2"/>
    <w:rsid w:val="00225428"/>
    <w:rsid w:val="0022585D"/>
    <w:rsid w:val="00225887"/>
    <w:rsid w:val="00225DBE"/>
    <w:rsid w:val="00225EDA"/>
    <w:rsid w:val="00226358"/>
    <w:rsid w:val="00226664"/>
    <w:rsid w:val="00226847"/>
    <w:rsid w:val="002271B6"/>
    <w:rsid w:val="00227EBD"/>
    <w:rsid w:val="00230091"/>
    <w:rsid w:val="002303E3"/>
    <w:rsid w:val="002306CA"/>
    <w:rsid w:val="00230724"/>
    <w:rsid w:val="00230F6F"/>
    <w:rsid w:val="00231126"/>
    <w:rsid w:val="0023114A"/>
    <w:rsid w:val="00231917"/>
    <w:rsid w:val="00231E3F"/>
    <w:rsid w:val="0023224A"/>
    <w:rsid w:val="00232CF5"/>
    <w:rsid w:val="0023347C"/>
    <w:rsid w:val="0023546A"/>
    <w:rsid w:val="00235797"/>
    <w:rsid w:val="00235883"/>
    <w:rsid w:val="00235FC1"/>
    <w:rsid w:val="00237918"/>
    <w:rsid w:val="002409E4"/>
    <w:rsid w:val="00241090"/>
    <w:rsid w:val="002410EA"/>
    <w:rsid w:val="00241288"/>
    <w:rsid w:val="00241305"/>
    <w:rsid w:val="002414B4"/>
    <w:rsid w:val="002418A5"/>
    <w:rsid w:val="00241D2A"/>
    <w:rsid w:val="00241E0D"/>
    <w:rsid w:val="002420E7"/>
    <w:rsid w:val="0024214D"/>
    <w:rsid w:val="00242AB1"/>
    <w:rsid w:val="00242D11"/>
    <w:rsid w:val="00243335"/>
    <w:rsid w:val="002433DF"/>
    <w:rsid w:val="0024510D"/>
    <w:rsid w:val="0024534F"/>
    <w:rsid w:val="00246245"/>
    <w:rsid w:val="0024790B"/>
    <w:rsid w:val="002501E7"/>
    <w:rsid w:val="00250555"/>
    <w:rsid w:val="0025071E"/>
    <w:rsid w:val="00250CE3"/>
    <w:rsid w:val="002514CE"/>
    <w:rsid w:val="00251D53"/>
    <w:rsid w:val="00252D7C"/>
    <w:rsid w:val="002531D7"/>
    <w:rsid w:val="00253247"/>
    <w:rsid w:val="002536BB"/>
    <w:rsid w:val="00253A81"/>
    <w:rsid w:val="00254094"/>
    <w:rsid w:val="0025497B"/>
    <w:rsid w:val="002551E2"/>
    <w:rsid w:val="00255911"/>
    <w:rsid w:val="002559F5"/>
    <w:rsid w:val="00255F41"/>
    <w:rsid w:val="00255FBB"/>
    <w:rsid w:val="002618BE"/>
    <w:rsid w:val="00263A96"/>
    <w:rsid w:val="002644C2"/>
    <w:rsid w:val="002646DF"/>
    <w:rsid w:val="002658C7"/>
    <w:rsid w:val="0026606B"/>
    <w:rsid w:val="002668D5"/>
    <w:rsid w:val="00266A6F"/>
    <w:rsid w:val="00266C99"/>
    <w:rsid w:val="00267550"/>
    <w:rsid w:val="00270A27"/>
    <w:rsid w:val="00271789"/>
    <w:rsid w:val="002722A7"/>
    <w:rsid w:val="00272B2F"/>
    <w:rsid w:val="00273990"/>
    <w:rsid w:val="00273E9B"/>
    <w:rsid w:val="00274906"/>
    <w:rsid w:val="00274B7F"/>
    <w:rsid w:val="00275395"/>
    <w:rsid w:val="002754DE"/>
    <w:rsid w:val="00275FB8"/>
    <w:rsid w:val="002762AA"/>
    <w:rsid w:val="002769C6"/>
    <w:rsid w:val="0027705E"/>
    <w:rsid w:val="002774DB"/>
    <w:rsid w:val="002776DE"/>
    <w:rsid w:val="00280423"/>
    <w:rsid w:val="002806AD"/>
    <w:rsid w:val="00280CB6"/>
    <w:rsid w:val="00281AE7"/>
    <w:rsid w:val="002824C7"/>
    <w:rsid w:val="002827D7"/>
    <w:rsid w:val="00282FE0"/>
    <w:rsid w:val="00283543"/>
    <w:rsid w:val="00283F58"/>
    <w:rsid w:val="00285D64"/>
    <w:rsid w:val="00286195"/>
    <w:rsid w:val="00286ACA"/>
    <w:rsid w:val="0028787B"/>
    <w:rsid w:val="00287993"/>
    <w:rsid w:val="00290C17"/>
    <w:rsid w:val="00290D60"/>
    <w:rsid w:val="002910AA"/>
    <w:rsid w:val="00291BD4"/>
    <w:rsid w:val="00292606"/>
    <w:rsid w:val="00292843"/>
    <w:rsid w:val="0029296D"/>
    <w:rsid w:val="00292F6E"/>
    <w:rsid w:val="002948A5"/>
    <w:rsid w:val="00294A6B"/>
    <w:rsid w:val="00294D3D"/>
    <w:rsid w:val="002960A0"/>
    <w:rsid w:val="0029710A"/>
    <w:rsid w:val="002A0493"/>
    <w:rsid w:val="002A132C"/>
    <w:rsid w:val="002A3413"/>
    <w:rsid w:val="002A3475"/>
    <w:rsid w:val="002A35C3"/>
    <w:rsid w:val="002A375E"/>
    <w:rsid w:val="002A3F2D"/>
    <w:rsid w:val="002A4AE8"/>
    <w:rsid w:val="002A4EB8"/>
    <w:rsid w:val="002A53AB"/>
    <w:rsid w:val="002A63D1"/>
    <w:rsid w:val="002A6854"/>
    <w:rsid w:val="002A7440"/>
    <w:rsid w:val="002A7F8E"/>
    <w:rsid w:val="002B0166"/>
    <w:rsid w:val="002B0232"/>
    <w:rsid w:val="002B1065"/>
    <w:rsid w:val="002B2972"/>
    <w:rsid w:val="002B2A7E"/>
    <w:rsid w:val="002B2A8D"/>
    <w:rsid w:val="002B31AA"/>
    <w:rsid w:val="002B4691"/>
    <w:rsid w:val="002B5016"/>
    <w:rsid w:val="002B50E1"/>
    <w:rsid w:val="002B5639"/>
    <w:rsid w:val="002B5EDB"/>
    <w:rsid w:val="002B67C3"/>
    <w:rsid w:val="002B7AAA"/>
    <w:rsid w:val="002C0070"/>
    <w:rsid w:val="002C022C"/>
    <w:rsid w:val="002C0A7C"/>
    <w:rsid w:val="002C30B1"/>
    <w:rsid w:val="002C3DCF"/>
    <w:rsid w:val="002C3F3D"/>
    <w:rsid w:val="002C44A4"/>
    <w:rsid w:val="002C4684"/>
    <w:rsid w:val="002C4AB9"/>
    <w:rsid w:val="002C5094"/>
    <w:rsid w:val="002C5374"/>
    <w:rsid w:val="002C5A02"/>
    <w:rsid w:val="002C5CB5"/>
    <w:rsid w:val="002C5E34"/>
    <w:rsid w:val="002C60D9"/>
    <w:rsid w:val="002C61A5"/>
    <w:rsid w:val="002C631A"/>
    <w:rsid w:val="002C674C"/>
    <w:rsid w:val="002C7236"/>
    <w:rsid w:val="002C748B"/>
    <w:rsid w:val="002C78A8"/>
    <w:rsid w:val="002D0421"/>
    <w:rsid w:val="002D0ECC"/>
    <w:rsid w:val="002D1C50"/>
    <w:rsid w:val="002D2808"/>
    <w:rsid w:val="002D2B54"/>
    <w:rsid w:val="002D3059"/>
    <w:rsid w:val="002D392E"/>
    <w:rsid w:val="002D3963"/>
    <w:rsid w:val="002D46AC"/>
    <w:rsid w:val="002D47B3"/>
    <w:rsid w:val="002D546A"/>
    <w:rsid w:val="002D612D"/>
    <w:rsid w:val="002D6D8B"/>
    <w:rsid w:val="002D72ED"/>
    <w:rsid w:val="002E1580"/>
    <w:rsid w:val="002E17F4"/>
    <w:rsid w:val="002E2013"/>
    <w:rsid w:val="002E2025"/>
    <w:rsid w:val="002E2DFF"/>
    <w:rsid w:val="002E3FA5"/>
    <w:rsid w:val="002E4BD3"/>
    <w:rsid w:val="002E50F0"/>
    <w:rsid w:val="002E5E43"/>
    <w:rsid w:val="002E5E99"/>
    <w:rsid w:val="002E6239"/>
    <w:rsid w:val="002E62C5"/>
    <w:rsid w:val="002E6705"/>
    <w:rsid w:val="002E6937"/>
    <w:rsid w:val="002E6C8C"/>
    <w:rsid w:val="002E72FC"/>
    <w:rsid w:val="002E7854"/>
    <w:rsid w:val="002E7D43"/>
    <w:rsid w:val="002F0044"/>
    <w:rsid w:val="002F0A92"/>
    <w:rsid w:val="002F1178"/>
    <w:rsid w:val="002F11CF"/>
    <w:rsid w:val="002F1596"/>
    <w:rsid w:val="002F20BF"/>
    <w:rsid w:val="002F29B9"/>
    <w:rsid w:val="002F2EFD"/>
    <w:rsid w:val="002F320A"/>
    <w:rsid w:val="002F3A4E"/>
    <w:rsid w:val="002F4F24"/>
    <w:rsid w:val="002F5485"/>
    <w:rsid w:val="002F5982"/>
    <w:rsid w:val="002F6205"/>
    <w:rsid w:val="002F6265"/>
    <w:rsid w:val="002F651A"/>
    <w:rsid w:val="002F7813"/>
    <w:rsid w:val="002F7E35"/>
    <w:rsid w:val="00301319"/>
    <w:rsid w:val="00301A85"/>
    <w:rsid w:val="00301B62"/>
    <w:rsid w:val="00302188"/>
    <w:rsid w:val="0030248F"/>
    <w:rsid w:val="00302E2F"/>
    <w:rsid w:val="00302EF3"/>
    <w:rsid w:val="00303170"/>
    <w:rsid w:val="00303350"/>
    <w:rsid w:val="0030360B"/>
    <w:rsid w:val="003039E6"/>
    <w:rsid w:val="00303B7F"/>
    <w:rsid w:val="00303E40"/>
    <w:rsid w:val="00303FE5"/>
    <w:rsid w:val="00304833"/>
    <w:rsid w:val="00305500"/>
    <w:rsid w:val="00306481"/>
    <w:rsid w:val="00307158"/>
    <w:rsid w:val="00307C64"/>
    <w:rsid w:val="00311A2D"/>
    <w:rsid w:val="00311D4A"/>
    <w:rsid w:val="00311E17"/>
    <w:rsid w:val="00312149"/>
    <w:rsid w:val="00312213"/>
    <w:rsid w:val="00312366"/>
    <w:rsid w:val="0031306F"/>
    <w:rsid w:val="00314588"/>
    <w:rsid w:val="00314B64"/>
    <w:rsid w:val="00315045"/>
    <w:rsid w:val="00315046"/>
    <w:rsid w:val="00315486"/>
    <w:rsid w:val="00315507"/>
    <w:rsid w:val="00315756"/>
    <w:rsid w:val="003172CB"/>
    <w:rsid w:val="00320531"/>
    <w:rsid w:val="00320C50"/>
    <w:rsid w:val="003212E3"/>
    <w:rsid w:val="0032134E"/>
    <w:rsid w:val="0032177B"/>
    <w:rsid w:val="003225C3"/>
    <w:rsid w:val="003229D9"/>
    <w:rsid w:val="00325312"/>
    <w:rsid w:val="003253B6"/>
    <w:rsid w:val="0032569F"/>
    <w:rsid w:val="00325C3E"/>
    <w:rsid w:val="003265D3"/>
    <w:rsid w:val="0032699F"/>
    <w:rsid w:val="00326E50"/>
    <w:rsid w:val="00326EF5"/>
    <w:rsid w:val="003272C4"/>
    <w:rsid w:val="00327DD0"/>
    <w:rsid w:val="00331E19"/>
    <w:rsid w:val="0033205F"/>
    <w:rsid w:val="00332CA2"/>
    <w:rsid w:val="00332D0C"/>
    <w:rsid w:val="00332E9D"/>
    <w:rsid w:val="00333611"/>
    <w:rsid w:val="00333D81"/>
    <w:rsid w:val="003340B6"/>
    <w:rsid w:val="003341D3"/>
    <w:rsid w:val="00334324"/>
    <w:rsid w:val="003343FF"/>
    <w:rsid w:val="0033460F"/>
    <w:rsid w:val="00334B32"/>
    <w:rsid w:val="00334CAE"/>
    <w:rsid w:val="00334FA9"/>
    <w:rsid w:val="0033505F"/>
    <w:rsid w:val="0033525E"/>
    <w:rsid w:val="003356BC"/>
    <w:rsid w:val="00336018"/>
    <w:rsid w:val="003367C5"/>
    <w:rsid w:val="00336A71"/>
    <w:rsid w:val="003376D6"/>
    <w:rsid w:val="00337B63"/>
    <w:rsid w:val="00337C3E"/>
    <w:rsid w:val="00337E48"/>
    <w:rsid w:val="00337E72"/>
    <w:rsid w:val="00340877"/>
    <w:rsid w:val="00341244"/>
    <w:rsid w:val="0034190F"/>
    <w:rsid w:val="00341CA7"/>
    <w:rsid w:val="00341FE9"/>
    <w:rsid w:val="00344C6B"/>
    <w:rsid w:val="00345441"/>
    <w:rsid w:val="00345DC6"/>
    <w:rsid w:val="0034616B"/>
    <w:rsid w:val="00346744"/>
    <w:rsid w:val="003470BB"/>
    <w:rsid w:val="0035020F"/>
    <w:rsid w:val="00352865"/>
    <w:rsid w:val="00353923"/>
    <w:rsid w:val="00353A48"/>
    <w:rsid w:val="00353D18"/>
    <w:rsid w:val="0035430C"/>
    <w:rsid w:val="0035459E"/>
    <w:rsid w:val="00354631"/>
    <w:rsid w:val="003546D9"/>
    <w:rsid w:val="00354F00"/>
    <w:rsid w:val="00355EB2"/>
    <w:rsid w:val="003564CA"/>
    <w:rsid w:val="0035747F"/>
    <w:rsid w:val="003608E6"/>
    <w:rsid w:val="00361153"/>
    <w:rsid w:val="0036128E"/>
    <w:rsid w:val="003626A7"/>
    <w:rsid w:val="00362A09"/>
    <w:rsid w:val="0036340B"/>
    <w:rsid w:val="00363493"/>
    <w:rsid w:val="00363DE9"/>
    <w:rsid w:val="00363F0F"/>
    <w:rsid w:val="0036452C"/>
    <w:rsid w:val="00364C74"/>
    <w:rsid w:val="00364CF6"/>
    <w:rsid w:val="00364F63"/>
    <w:rsid w:val="0036592A"/>
    <w:rsid w:val="00365993"/>
    <w:rsid w:val="00365B6A"/>
    <w:rsid w:val="00365F5C"/>
    <w:rsid w:val="0036623A"/>
    <w:rsid w:val="00366977"/>
    <w:rsid w:val="003673F7"/>
    <w:rsid w:val="00367CE8"/>
    <w:rsid w:val="003704AB"/>
    <w:rsid w:val="00371198"/>
    <w:rsid w:val="00371464"/>
    <w:rsid w:val="0037146F"/>
    <w:rsid w:val="00371EB7"/>
    <w:rsid w:val="00372038"/>
    <w:rsid w:val="00374405"/>
    <w:rsid w:val="00374AC7"/>
    <w:rsid w:val="00374BC6"/>
    <w:rsid w:val="00374F51"/>
    <w:rsid w:val="00377902"/>
    <w:rsid w:val="00377D54"/>
    <w:rsid w:val="00377F42"/>
    <w:rsid w:val="003800F5"/>
    <w:rsid w:val="00380564"/>
    <w:rsid w:val="00380B05"/>
    <w:rsid w:val="00381D75"/>
    <w:rsid w:val="00382107"/>
    <w:rsid w:val="003827AD"/>
    <w:rsid w:val="00382A4B"/>
    <w:rsid w:val="00383201"/>
    <w:rsid w:val="00383C0A"/>
    <w:rsid w:val="00384AAE"/>
    <w:rsid w:val="00384CA8"/>
    <w:rsid w:val="00385A10"/>
    <w:rsid w:val="00385A7D"/>
    <w:rsid w:val="00386336"/>
    <w:rsid w:val="00387401"/>
    <w:rsid w:val="00387657"/>
    <w:rsid w:val="0038765B"/>
    <w:rsid w:val="003903CA"/>
    <w:rsid w:val="00390711"/>
    <w:rsid w:val="00390784"/>
    <w:rsid w:val="003907B3"/>
    <w:rsid w:val="003908C0"/>
    <w:rsid w:val="00391333"/>
    <w:rsid w:val="003919A6"/>
    <w:rsid w:val="003922D8"/>
    <w:rsid w:val="003925A3"/>
    <w:rsid w:val="003926BC"/>
    <w:rsid w:val="003929EE"/>
    <w:rsid w:val="003935CE"/>
    <w:rsid w:val="00394ECC"/>
    <w:rsid w:val="00395401"/>
    <w:rsid w:val="00396219"/>
    <w:rsid w:val="00396AEF"/>
    <w:rsid w:val="00397B81"/>
    <w:rsid w:val="00397DC9"/>
    <w:rsid w:val="003A073F"/>
    <w:rsid w:val="003A1684"/>
    <w:rsid w:val="003A17EE"/>
    <w:rsid w:val="003A24F2"/>
    <w:rsid w:val="003A36F7"/>
    <w:rsid w:val="003A4D07"/>
    <w:rsid w:val="003A5A7A"/>
    <w:rsid w:val="003A5E5D"/>
    <w:rsid w:val="003A6779"/>
    <w:rsid w:val="003A6981"/>
    <w:rsid w:val="003A6AC6"/>
    <w:rsid w:val="003A70B2"/>
    <w:rsid w:val="003A734D"/>
    <w:rsid w:val="003A7C93"/>
    <w:rsid w:val="003B0416"/>
    <w:rsid w:val="003B076D"/>
    <w:rsid w:val="003B081B"/>
    <w:rsid w:val="003B0881"/>
    <w:rsid w:val="003B1174"/>
    <w:rsid w:val="003B1ECC"/>
    <w:rsid w:val="003B2D31"/>
    <w:rsid w:val="003B379A"/>
    <w:rsid w:val="003B3E1A"/>
    <w:rsid w:val="003B48EC"/>
    <w:rsid w:val="003B4919"/>
    <w:rsid w:val="003B4EF9"/>
    <w:rsid w:val="003B5551"/>
    <w:rsid w:val="003B5609"/>
    <w:rsid w:val="003B61F7"/>
    <w:rsid w:val="003B69A1"/>
    <w:rsid w:val="003B6A56"/>
    <w:rsid w:val="003B6C4D"/>
    <w:rsid w:val="003B6FA7"/>
    <w:rsid w:val="003B7AC9"/>
    <w:rsid w:val="003C104F"/>
    <w:rsid w:val="003C121E"/>
    <w:rsid w:val="003C157E"/>
    <w:rsid w:val="003C1A31"/>
    <w:rsid w:val="003C1B46"/>
    <w:rsid w:val="003C266F"/>
    <w:rsid w:val="003C2950"/>
    <w:rsid w:val="003C2A02"/>
    <w:rsid w:val="003C3F34"/>
    <w:rsid w:val="003C4CBE"/>
    <w:rsid w:val="003C57D4"/>
    <w:rsid w:val="003C5812"/>
    <w:rsid w:val="003C5DCF"/>
    <w:rsid w:val="003C6948"/>
    <w:rsid w:val="003C72B0"/>
    <w:rsid w:val="003C78AC"/>
    <w:rsid w:val="003D04CD"/>
    <w:rsid w:val="003D07A4"/>
    <w:rsid w:val="003D0C9F"/>
    <w:rsid w:val="003D14AB"/>
    <w:rsid w:val="003D1E0A"/>
    <w:rsid w:val="003D2534"/>
    <w:rsid w:val="003D2B37"/>
    <w:rsid w:val="003D2B43"/>
    <w:rsid w:val="003D2EB0"/>
    <w:rsid w:val="003D462E"/>
    <w:rsid w:val="003D4B8D"/>
    <w:rsid w:val="003D4D31"/>
    <w:rsid w:val="003D5F83"/>
    <w:rsid w:val="003D60F1"/>
    <w:rsid w:val="003D6884"/>
    <w:rsid w:val="003D709C"/>
    <w:rsid w:val="003D712F"/>
    <w:rsid w:val="003D744F"/>
    <w:rsid w:val="003D7554"/>
    <w:rsid w:val="003D7BB4"/>
    <w:rsid w:val="003D7BF7"/>
    <w:rsid w:val="003D7FD4"/>
    <w:rsid w:val="003E06F5"/>
    <w:rsid w:val="003E08BD"/>
    <w:rsid w:val="003E11AD"/>
    <w:rsid w:val="003E1821"/>
    <w:rsid w:val="003E1D03"/>
    <w:rsid w:val="003E2AEC"/>
    <w:rsid w:val="003E2D1E"/>
    <w:rsid w:val="003E3090"/>
    <w:rsid w:val="003E3B08"/>
    <w:rsid w:val="003E414F"/>
    <w:rsid w:val="003E4902"/>
    <w:rsid w:val="003E4BDC"/>
    <w:rsid w:val="003E57D0"/>
    <w:rsid w:val="003E6CB5"/>
    <w:rsid w:val="003E6E3F"/>
    <w:rsid w:val="003E7787"/>
    <w:rsid w:val="003E7991"/>
    <w:rsid w:val="003F016E"/>
    <w:rsid w:val="003F05F2"/>
    <w:rsid w:val="003F0F44"/>
    <w:rsid w:val="003F1385"/>
    <w:rsid w:val="003F1AC4"/>
    <w:rsid w:val="003F2A17"/>
    <w:rsid w:val="003F309F"/>
    <w:rsid w:val="003F3613"/>
    <w:rsid w:val="003F3B84"/>
    <w:rsid w:val="003F3C51"/>
    <w:rsid w:val="003F3D7D"/>
    <w:rsid w:val="003F3E80"/>
    <w:rsid w:val="003F4497"/>
    <w:rsid w:val="003F53A1"/>
    <w:rsid w:val="003F5580"/>
    <w:rsid w:val="003F5A64"/>
    <w:rsid w:val="004012D7"/>
    <w:rsid w:val="00401434"/>
    <w:rsid w:val="004024FD"/>
    <w:rsid w:val="00402738"/>
    <w:rsid w:val="00403AB3"/>
    <w:rsid w:val="00404CD9"/>
    <w:rsid w:val="00405B6B"/>
    <w:rsid w:val="00407463"/>
    <w:rsid w:val="00410073"/>
    <w:rsid w:val="00410235"/>
    <w:rsid w:val="004105DA"/>
    <w:rsid w:val="004108AB"/>
    <w:rsid w:val="00410AA0"/>
    <w:rsid w:val="00410ACD"/>
    <w:rsid w:val="00410BA3"/>
    <w:rsid w:val="00410F79"/>
    <w:rsid w:val="0041140B"/>
    <w:rsid w:val="004120B7"/>
    <w:rsid w:val="0041228F"/>
    <w:rsid w:val="00412D30"/>
    <w:rsid w:val="00413010"/>
    <w:rsid w:val="00413857"/>
    <w:rsid w:val="00413D6F"/>
    <w:rsid w:val="00413F31"/>
    <w:rsid w:val="00414188"/>
    <w:rsid w:val="004145D2"/>
    <w:rsid w:val="00414DE4"/>
    <w:rsid w:val="00414E10"/>
    <w:rsid w:val="00415365"/>
    <w:rsid w:val="00415975"/>
    <w:rsid w:val="00415DD2"/>
    <w:rsid w:val="004177D2"/>
    <w:rsid w:val="0041782F"/>
    <w:rsid w:val="0042039C"/>
    <w:rsid w:val="004204C2"/>
    <w:rsid w:val="0042143F"/>
    <w:rsid w:val="00422ECF"/>
    <w:rsid w:val="004231EE"/>
    <w:rsid w:val="0042343E"/>
    <w:rsid w:val="00423B86"/>
    <w:rsid w:val="00424320"/>
    <w:rsid w:val="0042512E"/>
    <w:rsid w:val="0042553D"/>
    <w:rsid w:val="004262F9"/>
    <w:rsid w:val="00426C67"/>
    <w:rsid w:val="00426C6A"/>
    <w:rsid w:val="00427560"/>
    <w:rsid w:val="00427826"/>
    <w:rsid w:val="00427E30"/>
    <w:rsid w:val="00430B52"/>
    <w:rsid w:val="004314AF"/>
    <w:rsid w:val="00431E7B"/>
    <w:rsid w:val="00432097"/>
    <w:rsid w:val="00432917"/>
    <w:rsid w:val="00432F83"/>
    <w:rsid w:val="00433357"/>
    <w:rsid w:val="00433493"/>
    <w:rsid w:val="004337C2"/>
    <w:rsid w:val="00434B33"/>
    <w:rsid w:val="00434E86"/>
    <w:rsid w:val="00435861"/>
    <w:rsid w:val="00435B0D"/>
    <w:rsid w:val="00435FA2"/>
    <w:rsid w:val="004366CF"/>
    <w:rsid w:val="004377A5"/>
    <w:rsid w:val="0043782B"/>
    <w:rsid w:val="00440040"/>
    <w:rsid w:val="0044008B"/>
    <w:rsid w:val="0044105F"/>
    <w:rsid w:val="00441FA7"/>
    <w:rsid w:val="00442185"/>
    <w:rsid w:val="0044233E"/>
    <w:rsid w:val="00442D39"/>
    <w:rsid w:val="00442F14"/>
    <w:rsid w:val="00443185"/>
    <w:rsid w:val="004433AE"/>
    <w:rsid w:val="004434DA"/>
    <w:rsid w:val="0044392C"/>
    <w:rsid w:val="0044432E"/>
    <w:rsid w:val="00444394"/>
    <w:rsid w:val="004451D1"/>
    <w:rsid w:val="00445833"/>
    <w:rsid w:val="00446703"/>
    <w:rsid w:val="00446B6E"/>
    <w:rsid w:val="00450113"/>
    <w:rsid w:val="00450803"/>
    <w:rsid w:val="00450B0E"/>
    <w:rsid w:val="004512DB"/>
    <w:rsid w:val="004514FD"/>
    <w:rsid w:val="004526E1"/>
    <w:rsid w:val="00452E3C"/>
    <w:rsid w:val="004530D6"/>
    <w:rsid w:val="00453290"/>
    <w:rsid w:val="00453B71"/>
    <w:rsid w:val="00453DA8"/>
    <w:rsid w:val="00454A5A"/>
    <w:rsid w:val="00454AE6"/>
    <w:rsid w:val="004550FA"/>
    <w:rsid w:val="004553A4"/>
    <w:rsid w:val="004555A7"/>
    <w:rsid w:val="00455F60"/>
    <w:rsid w:val="004561FF"/>
    <w:rsid w:val="004564CB"/>
    <w:rsid w:val="00456634"/>
    <w:rsid w:val="004567BD"/>
    <w:rsid w:val="00456DCD"/>
    <w:rsid w:val="00456E40"/>
    <w:rsid w:val="004571E2"/>
    <w:rsid w:val="00457693"/>
    <w:rsid w:val="00460998"/>
    <w:rsid w:val="004609C3"/>
    <w:rsid w:val="00461299"/>
    <w:rsid w:val="00462083"/>
    <w:rsid w:val="004626CE"/>
    <w:rsid w:val="00462A9B"/>
    <w:rsid w:val="00462AAB"/>
    <w:rsid w:val="00462B31"/>
    <w:rsid w:val="00463398"/>
    <w:rsid w:val="0046379F"/>
    <w:rsid w:val="004645B3"/>
    <w:rsid w:val="00464868"/>
    <w:rsid w:val="00465321"/>
    <w:rsid w:val="004667E3"/>
    <w:rsid w:val="00466F28"/>
    <w:rsid w:val="004673CC"/>
    <w:rsid w:val="00467584"/>
    <w:rsid w:val="00470926"/>
    <w:rsid w:val="00471FC6"/>
    <w:rsid w:val="00472155"/>
    <w:rsid w:val="004725EA"/>
    <w:rsid w:val="00472F3F"/>
    <w:rsid w:val="0047318F"/>
    <w:rsid w:val="00473326"/>
    <w:rsid w:val="00473C0D"/>
    <w:rsid w:val="00474602"/>
    <w:rsid w:val="00474F37"/>
    <w:rsid w:val="0047591F"/>
    <w:rsid w:val="0047603F"/>
    <w:rsid w:val="004763E2"/>
    <w:rsid w:val="00476626"/>
    <w:rsid w:val="00476808"/>
    <w:rsid w:val="004776C5"/>
    <w:rsid w:val="00477AE6"/>
    <w:rsid w:val="00480082"/>
    <w:rsid w:val="0048134C"/>
    <w:rsid w:val="004813CC"/>
    <w:rsid w:val="00481691"/>
    <w:rsid w:val="00481695"/>
    <w:rsid w:val="00481858"/>
    <w:rsid w:val="00481AF2"/>
    <w:rsid w:val="004822CA"/>
    <w:rsid w:val="004823B2"/>
    <w:rsid w:val="0048290E"/>
    <w:rsid w:val="00482AB7"/>
    <w:rsid w:val="0048356C"/>
    <w:rsid w:val="00483DDF"/>
    <w:rsid w:val="00484678"/>
    <w:rsid w:val="00485197"/>
    <w:rsid w:val="00485389"/>
    <w:rsid w:val="00485C39"/>
    <w:rsid w:val="0048767F"/>
    <w:rsid w:val="00487B37"/>
    <w:rsid w:val="00487CF6"/>
    <w:rsid w:val="00487FDB"/>
    <w:rsid w:val="0049035A"/>
    <w:rsid w:val="00490E34"/>
    <w:rsid w:val="00491A88"/>
    <w:rsid w:val="00491BCD"/>
    <w:rsid w:val="00492685"/>
    <w:rsid w:val="00493590"/>
    <w:rsid w:val="00494268"/>
    <w:rsid w:val="00494611"/>
    <w:rsid w:val="00494FCB"/>
    <w:rsid w:val="0049568A"/>
    <w:rsid w:val="004956E3"/>
    <w:rsid w:val="00495D3B"/>
    <w:rsid w:val="004965CE"/>
    <w:rsid w:val="00496857"/>
    <w:rsid w:val="00496CB9"/>
    <w:rsid w:val="004A023E"/>
    <w:rsid w:val="004A03D0"/>
    <w:rsid w:val="004A1D8C"/>
    <w:rsid w:val="004A1F95"/>
    <w:rsid w:val="004A2422"/>
    <w:rsid w:val="004A24F3"/>
    <w:rsid w:val="004A2508"/>
    <w:rsid w:val="004A2AEA"/>
    <w:rsid w:val="004A2E45"/>
    <w:rsid w:val="004A36C5"/>
    <w:rsid w:val="004A4608"/>
    <w:rsid w:val="004A576D"/>
    <w:rsid w:val="004A5CBB"/>
    <w:rsid w:val="004A60EA"/>
    <w:rsid w:val="004A69D9"/>
    <w:rsid w:val="004A7904"/>
    <w:rsid w:val="004A7E7A"/>
    <w:rsid w:val="004B06D9"/>
    <w:rsid w:val="004B0902"/>
    <w:rsid w:val="004B0BD0"/>
    <w:rsid w:val="004B0E47"/>
    <w:rsid w:val="004B1926"/>
    <w:rsid w:val="004B2592"/>
    <w:rsid w:val="004B2FD2"/>
    <w:rsid w:val="004B3049"/>
    <w:rsid w:val="004B373F"/>
    <w:rsid w:val="004B514E"/>
    <w:rsid w:val="004B59A6"/>
    <w:rsid w:val="004B5A89"/>
    <w:rsid w:val="004B635A"/>
    <w:rsid w:val="004B6B24"/>
    <w:rsid w:val="004B6C53"/>
    <w:rsid w:val="004B799F"/>
    <w:rsid w:val="004C0296"/>
    <w:rsid w:val="004C042B"/>
    <w:rsid w:val="004C0D82"/>
    <w:rsid w:val="004C171E"/>
    <w:rsid w:val="004C20BE"/>
    <w:rsid w:val="004C2EA9"/>
    <w:rsid w:val="004C33B4"/>
    <w:rsid w:val="004C3728"/>
    <w:rsid w:val="004C3806"/>
    <w:rsid w:val="004C3D2D"/>
    <w:rsid w:val="004C3E64"/>
    <w:rsid w:val="004C3ECA"/>
    <w:rsid w:val="004C3EEA"/>
    <w:rsid w:val="004C3F14"/>
    <w:rsid w:val="004C4FBC"/>
    <w:rsid w:val="004C5750"/>
    <w:rsid w:val="004C5994"/>
    <w:rsid w:val="004C65DA"/>
    <w:rsid w:val="004C6668"/>
    <w:rsid w:val="004C6702"/>
    <w:rsid w:val="004D07F9"/>
    <w:rsid w:val="004D130A"/>
    <w:rsid w:val="004D17F9"/>
    <w:rsid w:val="004D225C"/>
    <w:rsid w:val="004D299F"/>
    <w:rsid w:val="004D40D8"/>
    <w:rsid w:val="004D620A"/>
    <w:rsid w:val="004D64BE"/>
    <w:rsid w:val="004D7801"/>
    <w:rsid w:val="004E0B00"/>
    <w:rsid w:val="004E0CDD"/>
    <w:rsid w:val="004E0F72"/>
    <w:rsid w:val="004E1311"/>
    <w:rsid w:val="004E14FB"/>
    <w:rsid w:val="004E2D43"/>
    <w:rsid w:val="004E3295"/>
    <w:rsid w:val="004E3FC5"/>
    <w:rsid w:val="004E4225"/>
    <w:rsid w:val="004E5701"/>
    <w:rsid w:val="004E572A"/>
    <w:rsid w:val="004E6401"/>
    <w:rsid w:val="004E6555"/>
    <w:rsid w:val="004E65B5"/>
    <w:rsid w:val="004E6900"/>
    <w:rsid w:val="004E6B3C"/>
    <w:rsid w:val="004E6CFE"/>
    <w:rsid w:val="004E77C7"/>
    <w:rsid w:val="004F0AEA"/>
    <w:rsid w:val="004F13C8"/>
    <w:rsid w:val="004F1C98"/>
    <w:rsid w:val="004F2837"/>
    <w:rsid w:val="004F29AE"/>
    <w:rsid w:val="004F2B3D"/>
    <w:rsid w:val="004F2DD7"/>
    <w:rsid w:val="004F2E0E"/>
    <w:rsid w:val="004F47AF"/>
    <w:rsid w:val="004F4A4E"/>
    <w:rsid w:val="004F4E10"/>
    <w:rsid w:val="004F4F9F"/>
    <w:rsid w:val="004F60D7"/>
    <w:rsid w:val="004F635B"/>
    <w:rsid w:val="004F6958"/>
    <w:rsid w:val="004F69F5"/>
    <w:rsid w:val="004F7392"/>
    <w:rsid w:val="004F791C"/>
    <w:rsid w:val="004F7C1E"/>
    <w:rsid w:val="004F7C7A"/>
    <w:rsid w:val="00500C07"/>
    <w:rsid w:val="00500FD1"/>
    <w:rsid w:val="0050141C"/>
    <w:rsid w:val="005014F4"/>
    <w:rsid w:val="00502352"/>
    <w:rsid w:val="005031FF"/>
    <w:rsid w:val="0050381A"/>
    <w:rsid w:val="00503C4F"/>
    <w:rsid w:val="00503E08"/>
    <w:rsid w:val="00506709"/>
    <w:rsid w:val="00506DFB"/>
    <w:rsid w:val="005072C8"/>
    <w:rsid w:val="00507BCE"/>
    <w:rsid w:val="00507F46"/>
    <w:rsid w:val="0051164B"/>
    <w:rsid w:val="0051174E"/>
    <w:rsid w:val="00511ED0"/>
    <w:rsid w:val="005124A0"/>
    <w:rsid w:val="005125D7"/>
    <w:rsid w:val="0051290F"/>
    <w:rsid w:val="00513845"/>
    <w:rsid w:val="00513E23"/>
    <w:rsid w:val="00514AFF"/>
    <w:rsid w:val="00514F65"/>
    <w:rsid w:val="00515AF1"/>
    <w:rsid w:val="00515D7B"/>
    <w:rsid w:val="00516151"/>
    <w:rsid w:val="00517474"/>
    <w:rsid w:val="005177B4"/>
    <w:rsid w:val="00517A3D"/>
    <w:rsid w:val="00517BF8"/>
    <w:rsid w:val="00521460"/>
    <w:rsid w:val="00521766"/>
    <w:rsid w:val="005244A9"/>
    <w:rsid w:val="005251F1"/>
    <w:rsid w:val="00525861"/>
    <w:rsid w:val="00526174"/>
    <w:rsid w:val="005267E7"/>
    <w:rsid w:val="00527209"/>
    <w:rsid w:val="00527579"/>
    <w:rsid w:val="005309C3"/>
    <w:rsid w:val="00530C6B"/>
    <w:rsid w:val="0053107B"/>
    <w:rsid w:val="005319B8"/>
    <w:rsid w:val="0053200F"/>
    <w:rsid w:val="00532BDE"/>
    <w:rsid w:val="00533211"/>
    <w:rsid w:val="0053356C"/>
    <w:rsid w:val="005335CD"/>
    <w:rsid w:val="0053389D"/>
    <w:rsid w:val="00534B44"/>
    <w:rsid w:val="00534C2A"/>
    <w:rsid w:val="0053537C"/>
    <w:rsid w:val="005363F8"/>
    <w:rsid w:val="00536478"/>
    <w:rsid w:val="0053663F"/>
    <w:rsid w:val="00536ED8"/>
    <w:rsid w:val="00536F61"/>
    <w:rsid w:val="005372EA"/>
    <w:rsid w:val="00540A3B"/>
    <w:rsid w:val="00540A6C"/>
    <w:rsid w:val="005411B2"/>
    <w:rsid w:val="005418B4"/>
    <w:rsid w:val="00541B1E"/>
    <w:rsid w:val="005424F6"/>
    <w:rsid w:val="00542C85"/>
    <w:rsid w:val="00542D6B"/>
    <w:rsid w:val="0054319E"/>
    <w:rsid w:val="00543440"/>
    <w:rsid w:val="005442A2"/>
    <w:rsid w:val="00544B71"/>
    <w:rsid w:val="0054504E"/>
    <w:rsid w:val="00545488"/>
    <w:rsid w:val="00545876"/>
    <w:rsid w:val="00545FE4"/>
    <w:rsid w:val="00546304"/>
    <w:rsid w:val="005465D4"/>
    <w:rsid w:val="00546987"/>
    <w:rsid w:val="00546B33"/>
    <w:rsid w:val="00546D76"/>
    <w:rsid w:val="00547DEB"/>
    <w:rsid w:val="00547F2D"/>
    <w:rsid w:val="00550C3B"/>
    <w:rsid w:val="00550EBC"/>
    <w:rsid w:val="005512C7"/>
    <w:rsid w:val="005518B8"/>
    <w:rsid w:val="00551A79"/>
    <w:rsid w:val="00551D41"/>
    <w:rsid w:val="00552611"/>
    <w:rsid w:val="00552666"/>
    <w:rsid w:val="00552B94"/>
    <w:rsid w:val="00552BD0"/>
    <w:rsid w:val="00552C23"/>
    <w:rsid w:val="00552ECF"/>
    <w:rsid w:val="005535CD"/>
    <w:rsid w:val="0055463D"/>
    <w:rsid w:val="0055485C"/>
    <w:rsid w:val="00555158"/>
    <w:rsid w:val="005553B0"/>
    <w:rsid w:val="005559AB"/>
    <w:rsid w:val="00556686"/>
    <w:rsid w:val="00556877"/>
    <w:rsid w:val="00556EA9"/>
    <w:rsid w:val="00557086"/>
    <w:rsid w:val="00561708"/>
    <w:rsid w:val="00561A18"/>
    <w:rsid w:val="0056233B"/>
    <w:rsid w:val="0056252D"/>
    <w:rsid w:val="00562573"/>
    <w:rsid w:val="005627B5"/>
    <w:rsid w:val="00562C6B"/>
    <w:rsid w:val="00562E12"/>
    <w:rsid w:val="0056309B"/>
    <w:rsid w:val="00563D45"/>
    <w:rsid w:val="00565581"/>
    <w:rsid w:val="00565F6A"/>
    <w:rsid w:val="00566894"/>
    <w:rsid w:val="00566984"/>
    <w:rsid w:val="005707E1"/>
    <w:rsid w:val="00570D05"/>
    <w:rsid w:val="00570DCE"/>
    <w:rsid w:val="00571344"/>
    <w:rsid w:val="00571660"/>
    <w:rsid w:val="00571F63"/>
    <w:rsid w:val="00572005"/>
    <w:rsid w:val="00572C0B"/>
    <w:rsid w:val="00572FA0"/>
    <w:rsid w:val="0057317D"/>
    <w:rsid w:val="005734E1"/>
    <w:rsid w:val="005734F3"/>
    <w:rsid w:val="0057367B"/>
    <w:rsid w:val="00573C4D"/>
    <w:rsid w:val="005740E6"/>
    <w:rsid w:val="00574137"/>
    <w:rsid w:val="00574B93"/>
    <w:rsid w:val="00574F4A"/>
    <w:rsid w:val="0057797A"/>
    <w:rsid w:val="00580496"/>
    <w:rsid w:val="005807E8"/>
    <w:rsid w:val="00580869"/>
    <w:rsid w:val="00580BA2"/>
    <w:rsid w:val="005814CF"/>
    <w:rsid w:val="005818A9"/>
    <w:rsid w:val="00581B58"/>
    <w:rsid w:val="005821FA"/>
    <w:rsid w:val="00583723"/>
    <w:rsid w:val="005839D9"/>
    <w:rsid w:val="00583AD0"/>
    <w:rsid w:val="00584E07"/>
    <w:rsid w:val="0058529F"/>
    <w:rsid w:val="005854AD"/>
    <w:rsid w:val="00585A11"/>
    <w:rsid w:val="0058692D"/>
    <w:rsid w:val="00586BFC"/>
    <w:rsid w:val="00586FF8"/>
    <w:rsid w:val="00587305"/>
    <w:rsid w:val="005909B4"/>
    <w:rsid w:val="00590AA5"/>
    <w:rsid w:val="00591627"/>
    <w:rsid w:val="00591749"/>
    <w:rsid w:val="00591D2E"/>
    <w:rsid w:val="00591D75"/>
    <w:rsid w:val="0059235F"/>
    <w:rsid w:val="00594410"/>
    <w:rsid w:val="00594F1F"/>
    <w:rsid w:val="00595310"/>
    <w:rsid w:val="00595341"/>
    <w:rsid w:val="005955A8"/>
    <w:rsid w:val="00596579"/>
    <w:rsid w:val="00596A2D"/>
    <w:rsid w:val="00596C00"/>
    <w:rsid w:val="00596D43"/>
    <w:rsid w:val="00596DF6"/>
    <w:rsid w:val="0059718E"/>
    <w:rsid w:val="00597634"/>
    <w:rsid w:val="0059779B"/>
    <w:rsid w:val="0059794D"/>
    <w:rsid w:val="005A0355"/>
    <w:rsid w:val="005A20FF"/>
    <w:rsid w:val="005A2ACF"/>
    <w:rsid w:val="005A3314"/>
    <w:rsid w:val="005A448A"/>
    <w:rsid w:val="005A454D"/>
    <w:rsid w:val="005A5AA0"/>
    <w:rsid w:val="005A64B3"/>
    <w:rsid w:val="005A7940"/>
    <w:rsid w:val="005B0604"/>
    <w:rsid w:val="005B0A71"/>
    <w:rsid w:val="005B0CB1"/>
    <w:rsid w:val="005B1A13"/>
    <w:rsid w:val="005B1D2E"/>
    <w:rsid w:val="005B2565"/>
    <w:rsid w:val="005B27F4"/>
    <w:rsid w:val="005B29DA"/>
    <w:rsid w:val="005B3035"/>
    <w:rsid w:val="005B3639"/>
    <w:rsid w:val="005B4201"/>
    <w:rsid w:val="005B44F3"/>
    <w:rsid w:val="005B4905"/>
    <w:rsid w:val="005B595B"/>
    <w:rsid w:val="005B5CB7"/>
    <w:rsid w:val="005B61D0"/>
    <w:rsid w:val="005B63C2"/>
    <w:rsid w:val="005B7473"/>
    <w:rsid w:val="005B75DD"/>
    <w:rsid w:val="005B7D0E"/>
    <w:rsid w:val="005B7F9B"/>
    <w:rsid w:val="005C025E"/>
    <w:rsid w:val="005C071F"/>
    <w:rsid w:val="005C0F18"/>
    <w:rsid w:val="005C241D"/>
    <w:rsid w:val="005C2634"/>
    <w:rsid w:val="005C2A07"/>
    <w:rsid w:val="005C2DF3"/>
    <w:rsid w:val="005C3182"/>
    <w:rsid w:val="005C3DBC"/>
    <w:rsid w:val="005C425F"/>
    <w:rsid w:val="005C527F"/>
    <w:rsid w:val="005C641E"/>
    <w:rsid w:val="005C6CFB"/>
    <w:rsid w:val="005C709B"/>
    <w:rsid w:val="005C72C7"/>
    <w:rsid w:val="005C7480"/>
    <w:rsid w:val="005C74F1"/>
    <w:rsid w:val="005D058B"/>
    <w:rsid w:val="005D121D"/>
    <w:rsid w:val="005D18CF"/>
    <w:rsid w:val="005D1A7D"/>
    <w:rsid w:val="005D30E3"/>
    <w:rsid w:val="005D5067"/>
    <w:rsid w:val="005D50CC"/>
    <w:rsid w:val="005D55BB"/>
    <w:rsid w:val="005D5B2C"/>
    <w:rsid w:val="005D625A"/>
    <w:rsid w:val="005D6BB5"/>
    <w:rsid w:val="005D7A74"/>
    <w:rsid w:val="005E027D"/>
    <w:rsid w:val="005E0311"/>
    <w:rsid w:val="005E0676"/>
    <w:rsid w:val="005E08C2"/>
    <w:rsid w:val="005E27BF"/>
    <w:rsid w:val="005E2B19"/>
    <w:rsid w:val="005E2FC8"/>
    <w:rsid w:val="005E312F"/>
    <w:rsid w:val="005E522C"/>
    <w:rsid w:val="005E5424"/>
    <w:rsid w:val="005E592B"/>
    <w:rsid w:val="005E61E0"/>
    <w:rsid w:val="005E66AD"/>
    <w:rsid w:val="005E6F94"/>
    <w:rsid w:val="005E76C5"/>
    <w:rsid w:val="005E7D51"/>
    <w:rsid w:val="005E7EC1"/>
    <w:rsid w:val="005E7FFC"/>
    <w:rsid w:val="005F023A"/>
    <w:rsid w:val="005F0C16"/>
    <w:rsid w:val="005F17C5"/>
    <w:rsid w:val="005F206C"/>
    <w:rsid w:val="005F288F"/>
    <w:rsid w:val="005F2AE7"/>
    <w:rsid w:val="005F2F89"/>
    <w:rsid w:val="005F3077"/>
    <w:rsid w:val="005F3092"/>
    <w:rsid w:val="005F3567"/>
    <w:rsid w:val="005F3A4E"/>
    <w:rsid w:val="005F4153"/>
    <w:rsid w:val="005F4744"/>
    <w:rsid w:val="005F50A9"/>
    <w:rsid w:val="005F524E"/>
    <w:rsid w:val="005F57DA"/>
    <w:rsid w:val="005F67EE"/>
    <w:rsid w:val="005F6C22"/>
    <w:rsid w:val="005F6CE4"/>
    <w:rsid w:val="005F7BFF"/>
    <w:rsid w:val="005F7D92"/>
    <w:rsid w:val="00600028"/>
    <w:rsid w:val="0060056E"/>
    <w:rsid w:val="0060064C"/>
    <w:rsid w:val="0060070F"/>
    <w:rsid w:val="00600787"/>
    <w:rsid w:val="0060123A"/>
    <w:rsid w:val="0060154D"/>
    <w:rsid w:val="006023FF"/>
    <w:rsid w:val="00602758"/>
    <w:rsid w:val="00602BC9"/>
    <w:rsid w:val="006032FB"/>
    <w:rsid w:val="00603433"/>
    <w:rsid w:val="00603D5C"/>
    <w:rsid w:val="00603F73"/>
    <w:rsid w:val="00605815"/>
    <w:rsid w:val="00606779"/>
    <w:rsid w:val="00606911"/>
    <w:rsid w:val="006069B2"/>
    <w:rsid w:val="00606F81"/>
    <w:rsid w:val="00607781"/>
    <w:rsid w:val="00610468"/>
    <w:rsid w:val="0061075D"/>
    <w:rsid w:val="00610948"/>
    <w:rsid w:val="006111BD"/>
    <w:rsid w:val="00611C00"/>
    <w:rsid w:val="00611DD4"/>
    <w:rsid w:val="00612061"/>
    <w:rsid w:val="006139FF"/>
    <w:rsid w:val="0061406B"/>
    <w:rsid w:val="0061428D"/>
    <w:rsid w:val="006144BF"/>
    <w:rsid w:val="0061481C"/>
    <w:rsid w:val="00614897"/>
    <w:rsid w:val="006152B3"/>
    <w:rsid w:val="006160E1"/>
    <w:rsid w:val="00616BC4"/>
    <w:rsid w:val="006172C8"/>
    <w:rsid w:val="006173C9"/>
    <w:rsid w:val="00617A8E"/>
    <w:rsid w:val="0062016A"/>
    <w:rsid w:val="00620739"/>
    <w:rsid w:val="00621924"/>
    <w:rsid w:val="00624E79"/>
    <w:rsid w:val="00625C01"/>
    <w:rsid w:val="00626796"/>
    <w:rsid w:val="00626E2E"/>
    <w:rsid w:val="00626EC1"/>
    <w:rsid w:val="0063016E"/>
    <w:rsid w:val="0063017E"/>
    <w:rsid w:val="0063054C"/>
    <w:rsid w:val="00630B35"/>
    <w:rsid w:val="00631C0B"/>
    <w:rsid w:val="00632126"/>
    <w:rsid w:val="00632FB0"/>
    <w:rsid w:val="006333A6"/>
    <w:rsid w:val="00633D31"/>
    <w:rsid w:val="0063476F"/>
    <w:rsid w:val="0063497D"/>
    <w:rsid w:val="00635406"/>
    <w:rsid w:val="00635FD7"/>
    <w:rsid w:val="00636644"/>
    <w:rsid w:val="00636E4A"/>
    <w:rsid w:val="00637F7A"/>
    <w:rsid w:val="0064043B"/>
    <w:rsid w:val="006404B4"/>
    <w:rsid w:val="00641818"/>
    <w:rsid w:val="00641902"/>
    <w:rsid w:val="00641BFE"/>
    <w:rsid w:val="00641E9D"/>
    <w:rsid w:val="00642260"/>
    <w:rsid w:val="0064240B"/>
    <w:rsid w:val="00642596"/>
    <w:rsid w:val="00642F01"/>
    <w:rsid w:val="006433B9"/>
    <w:rsid w:val="006445F5"/>
    <w:rsid w:val="0064475B"/>
    <w:rsid w:val="00644888"/>
    <w:rsid w:val="0064495A"/>
    <w:rsid w:val="00644A30"/>
    <w:rsid w:val="00644EEE"/>
    <w:rsid w:val="006452AC"/>
    <w:rsid w:val="0064570D"/>
    <w:rsid w:val="006457B4"/>
    <w:rsid w:val="00645927"/>
    <w:rsid w:val="006459C3"/>
    <w:rsid w:val="00645E14"/>
    <w:rsid w:val="006475F2"/>
    <w:rsid w:val="0064799C"/>
    <w:rsid w:val="0065009B"/>
    <w:rsid w:val="00650B16"/>
    <w:rsid w:val="00650B69"/>
    <w:rsid w:val="00650C4A"/>
    <w:rsid w:val="00650DC9"/>
    <w:rsid w:val="00651078"/>
    <w:rsid w:val="00651B9D"/>
    <w:rsid w:val="0065231C"/>
    <w:rsid w:val="00653631"/>
    <w:rsid w:val="00653A6D"/>
    <w:rsid w:val="00653E23"/>
    <w:rsid w:val="00653E31"/>
    <w:rsid w:val="00653EE1"/>
    <w:rsid w:val="00655296"/>
    <w:rsid w:val="00656285"/>
    <w:rsid w:val="00656759"/>
    <w:rsid w:val="006572BB"/>
    <w:rsid w:val="00657A38"/>
    <w:rsid w:val="00657D52"/>
    <w:rsid w:val="00660187"/>
    <w:rsid w:val="00660F3B"/>
    <w:rsid w:val="00661C5A"/>
    <w:rsid w:val="00661D84"/>
    <w:rsid w:val="00662BE5"/>
    <w:rsid w:val="00662F97"/>
    <w:rsid w:val="006637F5"/>
    <w:rsid w:val="00663880"/>
    <w:rsid w:val="00663D31"/>
    <w:rsid w:val="00663E9A"/>
    <w:rsid w:val="00664000"/>
    <w:rsid w:val="00664612"/>
    <w:rsid w:val="006655C0"/>
    <w:rsid w:val="00667494"/>
    <w:rsid w:val="006675DC"/>
    <w:rsid w:val="00667B41"/>
    <w:rsid w:val="006708B0"/>
    <w:rsid w:val="00670B2A"/>
    <w:rsid w:val="00670E57"/>
    <w:rsid w:val="006725ED"/>
    <w:rsid w:val="00672FD8"/>
    <w:rsid w:val="00674880"/>
    <w:rsid w:val="006768B9"/>
    <w:rsid w:val="0067690E"/>
    <w:rsid w:val="006770AA"/>
    <w:rsid w:val="0067747C"/>
    <w:rsid w:val="0067774F"/>
    <w:rsid w:val="00677B65"/>
    <w:rsid w:val="00677EAE"/>
    <w:rsid w:val="00681F6C"/>
    <w:rsid w:val="00681FCC"/>
    <w:rsid w:val="0068207E"/>
    <w:rsid w:val="00683DD5"/>
    <w:rsid w:val="00684219"/>
    <w:rsid w:val="0068425D"/>
    <w:rsid w:val="00684D9F"/>
    <w:rsid w:val="006856C6"/>
    <w:rsid w:val="00687306"/>
    <w:rsid w:val="006876FA"/>
    <w:rsid w:val="00691708"/>
    <w:rsid w:val="00693186"/>
    <w:rsid w:val="006931F1"/>
    <w:rsid w:val="00693269"/>
    <w:rsid w:val="0069335A"/>
    <w:rsid w:val="00693D27"/>
    <w:rsid w:val="006940A7"/>
    <w:rsid w:val="006949B2"/>
    <w:rsid w:val="00694A7C"/>
    <w:rsid w:val="00694B42"/>
    <w:rsid w:val="00694FB7"/>
    <w:rsid w:val="00695192"/>
    <w:rsid w:val="006951E3"/>
    <w:rsid w:val="00695973"/>
    <w:rsid w:val="00695CB8"/>
    <w:rsid w:val="0069656F"/>
    <w:rsid w:val="0069732B"/>
    <w:rsid w:val="00697567"/>
    <w:rsid w:val="00697C2F"/>
    <w:rsid w:val="006A10BE"/>
    <w:rsid w:val="006A1E34"/>
    <w:rsid w:val="006A1F02"/>
    <w:rsid w:val="006A2A0D"/>
    <w:rsid w:val="006A2BBD"/>
    <w:rsid w:val="006A3FB3"/>
    <w:rsid w:val="006A3FB8"/>
    <w:rsid w:val="006A4E52"/>
    <w:rsid w:val="006A5165"/>
    <w:rsid w:val="006A66DF"/>
    <w:rsid w:val="006A6B8C"/>
    <w:rsid w:val="006A72ED"/>
    <w:rsid w:val="006A7839"/>
    <w:rsid w:val="006A7F6B"/>
    <w:rsid w:val="006B1C31"/>
    <w:rsid w:val="006B1FEE"/>
    <w:rsid w:val="006B217A"/>
    <w:rsid w:val="006B2529"/>
    <w:rsid w:val="006B2805"/>
    <w:rsid w:val="006B2D80"/>
    <w:rsid w:val="006B3EAC"/>
    <w:rsid w:val="006B42D4"/>
    <w:rsid w:val="006B475F"/>
    <w:rsid w:val="006B48E5"/>
    <w:rsid w:val="006B4A3F"/>
    <w:rsid w:val="006B4CE7"/>
    <w:rsid w:val="006B5029"/>
    <w:rsid w:val="006B5053"/>
    <w:rsid w:val="006B50C0"/>
    <w:rsid w:val="006B5480"/>
    <w:rsid w:val="006B6CF3"/>
    <w:rsid w:val="006B6FF9"/>
    <w:rsid w:val="006B7181"/>
    <w:rsid w:val="006B7AEA"/>
    <w:rsid w:val="006B7D09"/>
    <w:rsid w:val="006C0507"/>
    <w:rsid w:val="006C064A"/>
    <w:rsid w:val="006C2897"/>
    <w:rsid w:val="006C2D6D"/>
    <w:rsid w:val="006C3DBB"/>
    <w:rsid w:val="006C3FAD"/>
    <w:rsid w:val="006C4404"/>
    <w:rsid w:val="006C4B65"/>
    <w:rsid w:val="006C4C43"/>
    <w:rsid w:val="006C4E46"/>
    <w:rsid w:val="006C56E8"/>
    <w:rsid w:val="006C579F"/>
    <w:rsid w:val="006C5D88"/>
    <w:rsid w:val="006C5E06"/>
    <w:rsid w:val="006C63E7"/>
    <w:rsid w:val="006C66AD"/>
    <w:rsid w:val="006C68C5"/>
    <w:rsid w:val="006C6E0E"/>
    <w:rsid w:val="006C7E66"/>
    <w:rsid w:val="006D003F"/>
    <w:rsid w:val="006D0154"/>
    <w:rsid w:val="006D060D"/>
    <w:rsid w:val="006D0C3E"/>
    <w:rsid w:val="006D0FDE"/>
    <w:rsid w:val="006D1528"/>
    <w:rsid w:val="006D280F"/>
    <w:rsid w:val="006D3040"/>
    <w:rsid w:val="006D33C0"/>
    <w:rsid w:val="006D38A6"/>
    <w:rsid w:val="006D4AF8"/>
    <w:rsid w:val="006D4FC3"/>
    <w:rsid w:val="006D5707"/>
    <w:rsid w:val="006E03B2"/>
    <w:rsid w:val="006E0AC9"/>
    <w:rsid w:val="006E1019"/>
    <w:rsid w:val="006E26EC"/>
    <w:rsid w:val="006E3086"/>
    <w:rsid w:val="006E31EF"/>
    <w:rsid w:val="006E327A"/>
    <w:rsid w:val="006E37B6"/>
    <w:rsid w:val="006E39FB"/>
    <w:rsid w:val="006E4382"/>
    <w:rsid w:val="006E4E3D"/>
    <w:rsid w:val="006E51B2"/>
    <w:rsid w:val="006E52CD"/>
    <w:rsid w:val="006E584D"/>
    <w:rsid w:val="006E5EEF"/>
    <w:rsid w:val="006E5F02"/>
    <w:rsid w:val="006E5F3B"/>
    <w:rsid w:val="006E6EF9"/>
    <w:rsid w:val="006E757D"/>
    <w:rsid w:val="006E7CD2"/>
    <w:rsid w:val="006F0426"/>
    <w:rsid w:val="006F1823"/>
    <w:rsid w:val="006F1AF9"/>
    <w:rsid w:val="006F1E2A"/>
    <w:rsid w:val="006F2678"/>
    <w:rsid w:val="006F276C"/>
    <w:rsid w:val="006F442A"/>
    <w:rsid w:val="006F4BD6"/>
    <w:rsid w:val="006F4D41"/>
    <w:rsid w:val="006F5078"/>
    <w:rsid w:val="006F5760"/>
    <w:rsid w:val="006F5A61"/>
    <w:rsid w:val="006F5FAC"/>
    <w:rsid w:val="006F60C8"/>
    <w:rsid w:val="006F6397"/>
    <w:rsid w:val="006F6CE1"/>
    <w:rsid w:val="006F7AF7"/>
    <w:rsid w:val="006F7B4F"/>
    <w:rsid w:val="006F7D9C"/>
    <w:rsid w:val="00700CA8"/>
    <w:rsid w:val="00701012"/>
    <w:rsid w:val="00701A6A"/>
    <w:rsid w:val="007020C6"/>
    <w:rsid w:val="00702F2C"/>
    <w:rsid w:val="00703333"/>
    <w:rsid w:val="00703AB6"/>
    <w:rsid w:val="00704092"/>
    <w:rsid w:val="0070456B"/>
    <w:rsid w:val="00704B62"/>
    <w:rsid w:val="00704EB0"/>
    <w:rsid w:val="00705D0F"/>
    <w:rsid w:val="007070DA"/>
    <w:rsid w:val="0070729E"/>
    <w:rsid w:val="00707667"/>
    <w:rsid w:val="007078D7"/>
    <w:rsid w:val="00707BE6"/>
    <w:rsid w:val="00707F4B"/>
    <w:rsid w:val="0071065D"/>
    <w:rsid w:val="00710C1E"/>
    <w:rsid w:val="007120BE"/>
    <w:rsid w:val="00712135"/>
    <w:rsid w:val="00712946"/>
    <w:rsid w:val="00713101"/>
    <w:rsid w:val="007132B9"/>
    <w:rsid w:val="007136D1"/>
    <w:rsid w:val="0071396F"/>
    <w:rsid w:val="007144CF"/>
    <w:rsid w:val="00714C06"/>
    <w:rsid w:val="0071508E"/>
    <w:rsid w:val="007150C0"/>
    <w:rsid w:val="00715408"/>
    <w:rsid w:val="007162C0"/>
    <w:rsid w:val="00716838"/>
    <w:rsid w:val="00716B5E"/>
    <w:rsid w:val="00716C59"/>
    <w:rsid w:val="00716D78"/>
    <w:rsid w:val="00717316"/>
    <w:rsid w:val="007174AC"/>
    <w:rsid w:val="00717D1A"/>
    <w:rsid w:val="00720172"/>
    <w:rsid w:val="00720819"/>
    <w:rsid w:val="0072129C"/>
    <w:rsid w:val="00721A61"/>
    <w:rsid w:val="00721E6B"/>
    <w:rsid w:val="007229DB"/>
    <w:rsid w:val="00722FCC"/>
    <w:rsid w:val="00723AA2"/>
    <w:rsid w:val="00725287"/>
    <w:rsid w:val="00725455"/>
    <w:rsid w:val="0072572D"/>
    <w:rsid w:val="00725CFC"/>
    <w:rsid w:val="00725E4D"/>
    <w:rsid w:val="007260D7"/>
    <w:rsid w:val="00726282"/>
    <w:rsid w:val="00726A09"/>
    <w:rsid w:val="00727783"/>
    <w:rsid w:val="00727C35"/>
    <w:rsid w:val="00727F00"/>
    <w:rsid w:val="0073018D"/>
    <w:rsid w:val="00730F03"/>
    <w:rsid w:val="0073140C"/>
    <w:rsid w:val="00731628"/>
    <w:rsid w:val="007319A7"/>
    <w:rsid w:val="00731AF0"/>
    <w:rsid w:val="00731D07"/>
    <w:rsid w:val="00731DE7"/>
    <w:rsid w:val="007322A0"/>
    <w:rsid w:val="00732FE1"/>
    <w:rsid w:val="00733C8A"/>
    <w:rsid w:val="00733E35"/>
    <w:rsid w:val="00733EC7"/>
    <w:rsid w:val="00733F19"/>
    <w:rsid w:val="00734243"/>
    <w:rsid w:val="0073498D"/>
    <w:rsid w:val="00734BB1"/>
    <w:rsid w:val="00734FA7"/>
    <w:rsid w:val="00734FB3"/>
    <w:rsid w:val="007355AD"/>
    <w:rsid w:val="007356DB"/>
    <w:rsid w:val="00736431"/>
    <w:rsid w:val="0073794B"/>
    <w:rsid w:val="0074031E"/>
    <w:rsid w:val="00740A2A"/>
    <w:rsid w:val="00740ADB"/>
    <w:rsid w:val="00740C3F"/>
    <w:rsid w:val="00740D7B"/>
    <w:rsid w:val="007412BF"/>
    <w:rsid w:val="00741B07"/>
    <w:rsid w:val="00741E30"/>
    <w:rsid w:val="0074215C"/>
    <w:rsid w:val="007423FE"/>
    <w:rsid w:val="007435AC"/>
    <w:rsid w:val="007435C8"/>
    <w:rsid w:val="00743B07"/>
    <w:rsid w:val="00744AD7"/>
    <w:rsid w:val="00744BBB"/>
    <w:rsid w:val="00744EC5"/>
    <w:rsid w:val="007455A1"/>
    <w:rsid w:val="00745A4A"/>
    <w:rsid w:val="00745EC8"/>
    <w:rsid w:val="00746DB3"/>
    <w:rsid w:val="007478F7"/>
    <w:rsid w:val="00750183"/>
    <w:rsid w:val="00750998"/>
    <w:rsid w:val="00750ADD"/>
    <w:rsid w:val="00750EF2"/>
    <w:rsid w:val="00751FE4"/>
    <w:rsid w:val="00752634"/>
    <w:rsid w:val="00754ADB"/>
    <w:rsid w:val="00755BDF"/>
    <w:rsid w:val="00756F8C"/>
    <w:rsid w:val="00757BC3"/>
    <w:rsid w:val="00760082"/>
    <w:rsid w:val="00760510"/>
    <w:rsid w:val="00760769"/>
    <w:rsid w:val="00761336"/>
    <w:rsid w:val="00761A81"/>
    <w:rsid w:val="0076200A"/>
    <w:rsid w:val="007622A3"/>
    <w:rsid w:val="007628DD"/>
    <w:rsid w:val="00764022"/>
    <w:rsid w:val="007645F9"/>
    <w:rsid w:val="00765662"/>
    <w:rsid w:val="00767296"/>
    <w:rsid w:val="00767469"/>
    <w:rsid w:val="007678EB"/>
    <w:rsid w:val="00770F4C"/>
    <w:rsid w:val="00771817"/>
    <w:rsid w:val="00771CAF"/>
    <w:rsid w:val="007722AC"/>
    <w:rsid w:val="00772CD3"/>
    <w:rsid w:val="00773391"/>
    <w:rsid w:val="0077350C"/>
    <w:rsid w:val="00773AA4"/>
    <w:rsid w:val="00774089"/>
    <w:rsid w:val="00774106"/>
    <w:rsid w:val="00774D56"/>
    <w:rsid w:val="0077665E"/>
    <w:rsid w:val="00776DB2"/>
    <w:rsid w:val="00777209"/>
    <w:rsid w:val="00777636"/>
    <w:rsid w:val="00777911"/>
    <w:rsid w:val="007803C0"/>
    <w:rsid w:val="00781198"/>
    <w:rsid w:val="00781F80"/>
    <w:rsid w:val="0078284F"/>
    <w:rsid w:val="00782C7B"/>
    <w:rsid w:val="00784AD5"/>
    <w:rsid w:val="00784D5F"/>
    <w:rsid w:val="007860D6"/>
    <w:rsid w:val="007866D7"/>
    <w:rsid w:val="0078677F"/>
    <w:rsid w:val="00786E93"/>
    <w:rsid w:val="00787034"/>
    <w:rsid w:val="0078769C"/>
    <w:rsid w:val="00787E57"/>
    <w:rsid w:val="00790C4B"/>
    <w:rsid w:val="00790DE6"/>
    <w:rsid w:val="00791128"/>
    <w:rsid w:val="007911CB"/>
    <w:rsid w:val="00791C89"/>
    <w:rsid w:val="00791D32"/>
    <w:rsid w:val="007920BB"/>
    <w:rsid w:val="0079215D"/>
    <w:rsid w:val="00792464"/>
    <w:rsid w:val="0079259E"/>
    <w:rsid w:val="00792FE3"/>
    <w:rsid w:val="007932E2"/>
    <w:rsid w:val="00793C67"/>
    <w:rsid w:val="00793F53"/>
    <w:rsid w:val="007946F5"/>
    <w:rsid w:val="00794F8F"/>
    <w:rsid w:val="0079539F"/>
    <w:rsid w:val="007953EF"/>
    <w:rsid w:val="007960F7"/>
    <w:rsid w:val="00796E9D"/>
    <w:rsid w:val="0079709F"/>
    <w:rsid w:val="007974AD"/>
    <w:rsid w:val="00797525"/>
    <w:rsid w:val="00797884"/>
    <w:rsid w:val="0079797D"/>
    <w:rsid w:val="007A00FA"/>
    <w:rsid w:val="007A0BAB"/>
    <w:rsid w:val="007A188D"/>
    <w:rsid w:val="007A1CC8"/>
    <w:rsid w:val="007A2773"/>
    <w:rsid w:val="007A312C"/>
    <w:rsid w:val="007A3638"/>
    <w:rsid w:val="007A49C1"/>
    <w:rsid w:val="007A4B87"/>
    <w:rsid w:val="007A5102"/>
    <w:rsid w:val="007A57FA"/>
    <w:rsid w:val="007A58CC"/>
    <w:rsid w:val="007A5B6D"/>
    <w:rsid w:val="007A5C30"/>
    <w:rsid w:val="007A682E"/>
    <w:rsid w:val="007A6D2D"/>
    <w:rsid w:val="007A73A6"/>
    <w:rsid w:val="007A744F"/>
    <w:rsid w:val="007B0762"/>
    <w:rsid w:val="007B1CA6"/>
    <w:rsid w:val="007B1F93"/>
    <w:rsid w:val="007B216B"/>
    <w:rsid w:val="007B228A"/>
    <w:rsid w:val="007B309E"/>
    <w:rsid w:val="007B3723"/>
    <w:rsid w:val="007B50B4"/>
    <w:rsid w:val="007B5344"/>
    <w:rsid w:val="007B541A"/>
    <w:rsid w:val="007B58FB"/>
    <w:rsid w:val="007B64C5"/>
    <w:rsid w:val="007B6860"/>
    <w:rsid w:val="007B6E4E"/>
    <w:rsid w:val="007B71B2"/>
    <w:rsid w:val="007B7332"/>
    <w:rsid w:val="007B7852"/>
    <w:rsid w:val="007C03A0"/>
    <w:rsid w:val="007C03AA"/>
    <w:rsid w:val="007C0438"/>
    <w:rsid w:val="007C1695"/>
    <w:rsid w:val="007C1F76"/>
    <w:rsid w:val="007C20BA"/>
    <w:rsid w:val="007C24E0"/>
    <w:rsid w:val="007C2555"/>
    <w:rsid w:val="007C26E3"/>
    <w:rsid w:val="007C2CE2"/>
    <w:rsid w:val="007C2EBA"/>
    <w:rsid w:val="007C3B7F"/>
    <w:rsid w:val="007C4647"/>
    <w:rsid w:val="007C54CF"/>
    <w:rsid w:val="007C55D5"/>
    <w:rsid w:val="007C579E"/>
    <w:rsid w:val="007C6083"/>
    <w:rsid w:val="007C71E0"/>
    <w:rsid w:val="007C742C"/>
    <w:rsid w:val="007C7829"/>
    <w:rsid w:val="007D0177"/>
    <w:rsid w:val="007D05C3"/>
    <w:rsid w:val="007D14AC"/>
    <w:rsid w:val="007D15C1"/>
    <w:rsid w:val="007D1B24"/>
    <w:rsid w:val="007D22CD"/>
    <w:rsid w:val="007D31A1"/>
    <w:rsid w:val="007D3A4E"/>
    <w:rsid w:val="007D3A9F"/>
    <w:rsid w:val="007D4572"/>
    <w:rsid w:val="007D4C0D"/>
    <w:rsid w:val="007D4D60"/>
    <w:rsid w:val="007D53B3"/>
    <w:rsid w:val="007D59A7"/>
    <w:rsid w:val="007D620F"/>
    <w:rsid w:val="007D6A92"/>
    <w:rsid w:val="007D7095"/>
    <w:rsid w:val="007D79AA"/>
    <w:rsid w:val="007D7D96"/>
    <w:rsid w:val="007E0170"/>
    <w:rsid w:val="007E042F"/>
    <w:rsid w:val="007E0CC9"/>
    <w:rsid w:val="007E1357"/>
    <w:rsid w:val="007E1DEF"/>
    <w:rsid w:val="007E2230"/>
    <w:rsid w:val="007E24F0"/>
    <w:rsid w:val="007E298E"/>
    <w:rsid w:val="007E2FBA"/>
    <w:rsid w:val="007E30CB"/>
    <w:rsid w:val="007E381D"/>
    <w:rsid w:val="007E44DA"/>
    <w:rsid w:val="007E5BE4"/>
    <w:rsid w:val="007E63C2"/>
    <w:rsid w:val="007E7963"/>
    <w:rsid w:val="007F0500"/>
    <w:rsid w:val="007F0AAF"/>
    <w:rsid w:val="007F1900"/>
    <w:rsid w:val="007F28F4"/>
    <w:rsid w:val="007F2A76"/>
    <w:rsid w:val="007F2F27"/>
    <w:rsid w:val="007F4087"/>
    <w:rsid w:val="007F533B"/>
    <w:rsid w:val="007F5745"/>
    <w:rsid w:val="007F6BCE"/>
    <w:rsid w:val="007F6BDE"/>
    <w:rsid w:val="007F6D9C"/>
    <w:rsid w:val="007F7256"/>
    <w:rsid w:val="007F7C5D"/>
    <w:rsid w:val="00801463"/>
    <w:rsid w:val="00801C63"/>
    <w:rsid w:val="00801FCB"/>
    <w:rsid w:val="00802543"/>
    <w:rsid w:val="00802554"/>
    <w:rsid w:val="00802F5E"/>
    <w:rsid w:val="008037D7"/>
    <w:rsid w:val="008039DA"/>
    <w:rsid w:val="00803F48"/>
    <w:rsid w:val="008052D1"/>
    <w:rsid w:val="00805A7C"/>
    <w:rsid w:val="00806455"/>
    <w:rsid w:val="008071CA"/>
    <w:rsid w:val="00811B64"/>
    <w:rsid w:val="0081304F"/>
    <w:rsid w:val="0081353C"/>
    <w:rsid w:val="008138FA"/>
    <w:rsid w:val="008139D0"/>
    <w:rsid w:val="008139DA"/>
    <w:rsid w:val="00813A2E"/>
    <w:rsid w:val="008143BC"/>
    <w:rsid w:val="00815682"/>
    <w:rsid w:val="00815806"/>
    <w:rsid w:val="00815A0A"/>
    <w:rsid w:val="00816DAD"/>
    <w:rsid w:val="00817AF1"/>
    <w:rsid w:val="00817EE4"/>
    <w:rsid w:val="008200E9"/>
    <w:rsid w:val="00820B7E"/>
    <w:rsid w:val="00820E89"/>
    <w:rsid w:val="00820FCC"/>
    <w:rsid w:val="008212DE"/>
    <w:rsid w:val="008226FA"/>
    <w:rsid w:val="008227A2"/>
    <w:rsid w:val="00822B8B"/>
    <w:rsid w:val="00822BD5"/>
    <w:rsid w:val="00823063"/>
    <w:rsid w:val="00823844"/>
    <w:rsid w:val="00823CF6"/>
    <w:rsid w:val="00824220"/>
    <w:rsid w:val="0082473A"/>
    <w:rsid w:val="00824A77"/>
    <w:rsid w:val="00824B31"/>
    <w:rsid w:val="0082640A"/>
    <w:rsid w:val="00826A19"/>
    <w:rsid w:val="00826D27"/>
    <w:rsid w:val="008272C1"/>
    <w:rsid w:val="00827975"/>
    <w:rsid w:val="008301A5"/>
    <w:rsid w:val="00831BBD"/>
    <w:rsid w:val="00832A0E"/>
    <w:rsid w:val="00832BA8"/>
    <w:rsid w:val="008332D5"/>
    <w:rsid w:val="00836A4C"/>
    <w:rsid w:val="00836D21"/>
    <w:rsid w:val="00837089"/>
    <w:rsid w:val="00837588"/>
    <w:rsid w:val="0084042D"/>
    <w:rsid w:val="00840C2A"/>
    <w:rsid w:val="00841311"/>
    <w:rsid w:val="00841762"/>
    <w:rsid w:val="00841AE6"/>
    <w:rsid w:val="00842881"/>
    <w:rsid w:val="00843870"/>
    <w:rsid w:val="0084399A"/>
    <w:rsid w:val="008439A7"/>
    <w:rsid w:val="00843B56"/>
    <w:rsid w:val="00845348"/>
    <w:rsid w:val="008456DA"/>
    <w:rsid w:val="008458A5"/>
    <w:rsid w:val="00845A48"/>
    <w:rsid w:val="00846990"/>
    <w:rsid w:val="00846EA8"/>
    <w:rsid w:val="008506B1"/>
    <w:rsid w:val="00850F33"/>
    <w:rsid w:val="008522AD"/>
    <w:rsid w:val="008531F0"/>
    <w:rsid w:val="00853E55"/>
    <w:rsid w:val="00853FFC"/>
    <w:rsid w:val="00854A23"/>
    <w:rsid w:val="00854C09"/>
    <w:rsid w:val="00854E3F"/>
    <w:rsid w:val="008553C2"/>
    <w:rsid w:val="00855872"/>
    <w:rsid w:val="00855BA7"/>
    <w:rsid w:val="00856291"/>
    <w:rsid w:val="00856600"/>
    <w:rsid w:val="00857675"/>
    <w:rsid w:val="00857A2F"/>
    <w:rsid w:val="00857B65"/>
    <w:rsid w:val="008601DB"/>
    <w:rsid w:val="00860C33"/>
    <w:rsid w:val="00860E7A"/>
    <w:rsid w:val="008611AE"/>
    <w:rsid w:val="00862241"/>
    <w:rsid w:val="00862ADF"/>
    <w:rsid w:val="00862D44"/>
    <w:rsid w:val="00862D84"/>
    <w:rsid w:val="00862FF7"/>
    <w:rsid w:val="008633AA"/>
    <w:rsid w:val="0086344E"/>
    <w:rsid w:val="008647CE"/>
    <w:rsid w:val="008655D5"/>
    <w:rsid w:val="0086564E"/>
    <w:rsid w:val="008657D1"/>
    <w:rsid w:val="00865F1C"/>
    <w:rsid w:val="00866029"/>
    <w:rsid w:val="00866E59"/>
    <w:rsid w:val="00867264"/>
    <w:rsid w:val="00867BCA"/>
    <w:rsid w:val="008702C2"/>
    <w:rsid w:val="008707D6"/>
    <w:rsid w:val="008709D1"/>
    <w:rsid w:val="0087116B"/>
    <w:rsid w:val="00871176"/>
    <w:rsid w:val="008717A4"/>
    <w:rsid w:val="00872976"/>
    <w:rsid w:val="00872FC4"/>
    <w:rsid w:val="00873EC6"/>
    <w:rsid w:val="00874091"/>
    <w:rsid w:val="00874447"/>
    <w:rsid w:val="00875114"/>
    <w:rsid w:val="008758A6"/>
    <w:rsid w:val="00876097"/>
    <w:rsid w:val="008762B1"/>
    <w:rsid w:val="0087665B"/>
    <w:rsid w:val="00876D78"/>
    <w:rsid w:val="008772ED"/>
    <w:rsid w:val="00877FB9"/>
    <w:rsid w:val="00880F1A"/>
    <w:rsid w:val="008811A7"/>
    <w:rsid w:val="00881E26"/>
    <w:rsid w:val="008828F2"/>
    <w:rsid w:val="00882ADE"/>
    <w:rsid w:val="00882B90"/>
    <w:rsid w:val="008830D4"/>
    <w:rsid w:val="00883468"/>
    <w:rsid w:val="00883871"/>
    <w:rsid w:val="00884945"/>
    <w:rsid w:val="00885121"/>
    <w:rsid w:val="00885BD4"/>
    <w:rsid w:val="008860A5"/>
    <w:rsid w:val="008860F5"/>
    <w:rsid w:val="00886797"/>
    <w:rsid w:val="00886F24"/>
    <w:rsid w:val="008871BB"/>
    <w:rsid w:val="00887853"/>
    <w:rsid w:val="00887E5A"/>
    <w:rsid w:val="008901DA"/>
    <w:rsid w:val="0089068A"/>
    <w:rsid w:val="00890741"/>
    <w:rsid w:val="00890DEC"/>
    <w:rsid w:val="00891442"/>
    <w:rsid w:val="00891751"/>
    <w:rsid w:val="00892A18"/>
    <w:rsid w:val="00894399"/>
    <w:rsid w:val="0089489F"/>
    <w:rsid w:val="00894973"/>
    <w:rsid w:val="00894F84"/>
    <w:rsid w:val="008954E9"/>
    <w:rsid w:val="00895848"/>
    <w:rsid w:val="00895B52"/>
    <w:rsid w:val="00896175"/>
    <w:rsid w:val="008965B1"/>
    <w:rsid w:val="00896A71"/>
    <w:rsid w:val="008A2B19"/>
    <w:rsid w:val="008A2B5B"/>
    <w:rsid w:val="008A2BB6"/>
    <w:rsid w:val="008A2C44"/>
    <w:rsid w:val="008A40F5"/>
    <w:rsid w:val="008A4B25"/>
    <w:rsid w:val="008A50E5"/>
    <w:rsid w:val="008A5834"/>
    <w:rsid w:val="008A58EF"/>
    <w:rsid w:val="008A6561"/>
    <w:rsid w:val="008A696A"/>
    <w:rsid w:val="008A7327"/>
    <w:rsid w:val="008A7B26"/>
    <w:rsid w:val="008A7B87"/>
    <w:rsid w:val="008B0147"/>
    <w:rsid w:val="008B16F3"/>
    <w:rsid w:val="008B1887"/>
    <w:rsid w:val="008B1F13"/>
    <w:rsid w:val="008B2C01"/>
    <w:rsid w:val="008B2F6D"/>
    <w:rsid w:val="008B3140"/>
    <w:rsid w:val="008B3B31"/>
    <w:rsid w:val="008B40F5"/>
    <w:rsid w:val="008B41E7"/>
    <w:rsid w:val="008B4280"/>
    <w:rsid w:val="008B5311"/>
    <w:rsid w:val="008B5496"/>
    <w:rsid w:val="008B5C36"/>
    <w:rsid w:val="008B5CD0"/>
    <w:rsid w:val="008B617A"/>
    <w:rsid w:val="008B675F"/>
    <w:rsid w:val="008B6CBA"/>
    <w:rsid w:val="008B6FF7"/>
    <w:rsid w:val="008B72A1"/>
    <w:rsid w:val="008B74ED"/>
    <w:rsid w:val="008C0380"/>
    <w:rsid w:val="008C27CB"/>
    <w:rsid w:val="008C2E6B"/>
    <w:rsid w:val="008C2F98"/>
    <w:rsid w:val="008C3B69"/>
    <w:rsid w:val="008C3C12"/>
    <w:rsid w:val="008C4346"/>
    <w:rsid w:val="008C573A"/>
    <w:rsid w:val="008C5BDF"/>
    <w:rsid w:val="008C696C"/>
    <w:rsid w:val="008C6B08"/>
    <w:rsid w:val="008C745A"/>
    <w:rsid w:val="008C77E6"/>
    <w:rsid w:val="008C7C07"/>
    <w:rsid w:val="008D049B"/>
    <w:rsid w:val="008D0698"/>
    <w:rsid w:val="008D07EB"/>
    <w:rsid w:val="008D0C94"/>
    <w:rsid w:val="008D0D62"/>
    <w:rsid w:val="008D12FF"/>
    <w:rsid w:val="008D16C2"/>
    <w:rsid w:val="008D1A1B"/>
    <w:rsid w:val="008D2549"/>
    <w:rsid w:val="008D2FD1"/>
    <w:rsid w:val="008D329D"/>
    <w:rsid w:val="008D41F1"/>
    <w:rsid w:val="008D51BA"/>
    <w:rsid w:val="008D535B"/>
    <w:rsid w:val="008D5D4F"/>
    <w:rsid w:val="008D5E89"/>
    <w:rsid w:val="008D61B8"/>
    <w:rsid w:val="008D7398"/>
    <w:rsid w:val="008D7828"/>
    <w:rsid w:val="008D7866"/>
    <w:rsid w:val="008D7867"/>
    <w:rsid w:val="008D7A25"/>
    <w:rsid w:val="008D7CB6"/>
    <w:rsid w:val="008E0325"/>
    <w:rsid w:val="008E1024"/>
    <w:rsid w:val="008E1A3C"/>
    <w:rsid w:val="008E23A6"/>
    <w:rsid w:val="008E3092"/>
    <w:rsid w:val="008E325A"/>
    <w:rsid w:val="008E3E3A"/>
    <w:rsid w:val="008E5289"/>
    <w:rsid w:val="008E5E6C"/>
    <w:rsid w:val="008E662D"/>
    <w:rsid w:val="008E6C01"/>
    <w:rsid w:val="008E704C"/>
    <w:rsid w:val="008E7D2F"/>
    <w:rsid w:val="008F037A"/>
    <w:rsid w:val="008F05F2"/>
    <w:rsid w:val="008F0630"/>
    <w:rsid w:val="008F094F"/>
    <w:rsid w:val="008F1DEE"/>
    <w:rsid w:val="008F2048"/>
    <w:rsid w:val="008F28A2"/>
    <w:rsid w:val="008F365E"/>
    <w:rsid w:val="008F3C30"/>
    <w:rsid w:val="008F4A92"/>
    <w:rsid w:val="008F5131"/>
    <w:rsid w:val="008F5183"/>
    <w:rsid w:val="008F5522"/>
    <w:rsid w:val="008F5C53"/>
    <w:rsid w:val="008F6075"/>
    <w:rsid w:val="008F797D"/>
    <w:rsid w:val="009007E0"/>
    <w:rsid w:val="00900A00"/>
    <w:rsid w:val="00900BCF"/>
    <w:rsid w:val="00900D1D"/>
    <w:rsid w:val="00901256"/>
    <w:rsid w:val="00901688"/>
    <w:rsid w:val="00902358"/>
    <w:rsid w:val="009023D2"/>
    <w:rsid w:val="009027ED"/>
    <w:rsid w:val="00902ED8"/>
    <w:rsid w:val="00903155"/>
    <w:rsid w:val="00903577"/>
    <w:rsid w:val="00904100"/>
    <w:rsid w:val="00905338"/>
    <w:rsid w:val="00905538"/>
    <w:rsid w:val="00905810"/>
    <w:rsid w:val="00905B83"/>
    <w:rsid w:val="00905C4D"/>
    <w:rsid w:val="009061DA"/>
    <w:rsid w:val="009064B1"/>
    <w:rsid w:val="00906CDC"/>
    <w:rsid w:val="00907A4B"/>
    <w:rsid w:val="00907E92"/>
    <w:rsid w:val="00912453"/>
    <w:rsid w:val="0091379E"/>
    <w:rsid w:val="009139F3"/>
    <w:rsid w:val="00915583"/>
    <w:rsid w:val="009156CA"/>
    <w:rsid w:val="00915A01"/>
    <w:rsid w:val="00915B8A"/>
    <w:rsid w:val="0091664B"/>
    <w:rsid w:val="009167AB"/>
    <w:rsid w:val="009167C4"/>
    <w:rsid w:val="0091732F"/>
    <w:rsid w:val="0092001D"/>
    <w:rsid w:val="0092129A"/>
    <w:rsid w:val="00921664"/>
    <w:rsid w:val="00921D18"/>
    <w:rsid w:val="00922F19"/>
    <w:rsid w:val="00923059"/>
    <w:rsid w:val="00924279"/>
    <w:rsid w:val="009244BA"/>
    <w:rsid w:val="00924AB2"/>
    <w:rsid w:val="00925D48"/>
    <w:rsid w:val="00926459"/>
    <w:rsid w:val="00927550"/>
    <w:rsid w:val="0092759A"/>
    <w:rsid w:val="0092762E"/>
    <w:rsid w:val="00927A80"/>
    <w:rsid w:val="00927F4A"/>
    <w:rsid w:val="00931596"/>
    <w:rsid w:val="00932750"/>
    <w:rsid w:val="00932EB3"/>
    <w:rsid w:val="00933C85"/>
    <w:rsid w:val="0093451A"/>
    <w:rsid w:val="00934C70"/>
    <w:rsid w:val="00935BC3"/>
    <w:rsid w:val="00935C17"/>
    <w:rsid w:val="00936676"/>
    <w:rsid w:val="00936852"/>
    <w:rsid w:val="009408F9"/>
    <w:rsid w:val="00940D29"/>
    <w:rsid w:val="0094111C"/>
    <w:rsid w:val="009417D5"/>
    <w:rsid w:val="00941DE1"/>
    <w:rsid w:val="00942132"/>
    <w:rsid w:val="009423E6"/>
    <w:rsid w:val="00942598"/>
    <w:rsid w:val="0094282C"/>
    <w:rsid w:val="009428BF"/>
    <w:rsid w:val="00942AA1"/>
    <w:rsid w:val="009456C1"/>
    <w:rsid w:val="00945807"/>
    <w:rsid w:val="009458CB"/>
    <w:rsid w:val="00945EDF"/>
    <w:rsid w:val="00946577"/>
    <w:rsid w:val="00947226"/>
    <w:rsid w:val="00947DEF"/>
    <w:rsid w:val="00947FCC"/>
    <w:rsid w:val="00950431"/>
    <w:rsid w:val="00950654"/>
    <w:rsid w:val="009506BC"/>
    <w:rsid w:val="009518B8"/>
    <w:rsid w:val="00951BFE"/>
    <w:rsid w:val="00951DD0"/>
    <w:rsid w:val="00951E84"/>
    <w:rsid w:val="00952341"/>
    <w:rsid w:val="009523EF"/>
    <w:rsid w:val="009524D3"/>
    <w:rsid w:val="00952F10"/>
    <w:rsid w:val="0095311A"/>
    <w:rsid w:val="00953527"/>
    <w:rsid w:val="00953674"/>
    <w:rsid w:val="00953A06"/>
    <w:rsid w:val="00953E6D"/>
    <w:rsid w:val="009546A4"/>
    <w:rsid w:val="009552DC"/>
    <w:rsid w:val="00955582"/>
    <w:rsid w:val="00955858"/>
    <w:rsid w:val="0095606E"/>
    <w:rsid w:val="009560E6"/>
    <w:rsid w:val="00956B31"/>
    <w:rsid w:val="00956D80"/>
    <w:rsid w:val="00956EBD"/>
    <w:rsid w:val="00957B0D"/>
    <w:rsid w:val="009607C1"/>
    <w:rsid w:val="009615C6"/>
    <w:rsid w:val="00962144"/>
    <w:rsid w:val="00962273"/>
    <w:rsid w:val="0096233E"/>
    <w:rsid w:val="0096235F"/>
    <w:rsid w:val="009627F1"/>
    <w:rsid w:val="009633BA"/>
    <w:rsid w:val="009633D7"/>
    <w:rsid w:val="00963870"/>
    <w:rsid w:val="00963A12"/>
    <w:rsid w:val="0096421E"/>
    <w:rsid w:val="0096454B"/>
    <w:rsid w:val="00964A25"/>
    <w:rsid w:val="00964B2F"/>
    <w:rsid w:val="00966202"/>
    <w:rsid w:val="00966952"/>
    <w:rsid w:val="00966E84"/>
    <w:rsid w:val="00966F4D"/>
    <w:rsid w:val="00966FC1"/>
    <w:rsid w:val="009670E5"/>
    <w:rsid w:val="00967717"/>
    <w:rsid w:val="0096774E"/>
    <w:rsid w:val="00970CD7"/>
    <w:rsid w:val="00971100"/>
    <w:rsid w:val="00972C9B"/>
    <w:rsid w:val="00973039"/>
    <w:rsid w:val="009730A2"/>
    <w:rsid w:val="0097330E"/>
    <w:rsid w:val="00973442"/>
    <w:rsid w:val="00973A25"/>
    <w:rsid w:val="009740A7"/>
    <w:rsid w:val="00974361"/>
    <w:rsid w:val="00974A3D"/>
    <w:rsid w:val="00974B50"/>
    <w:rsid w:val="00974D7C"/>
    <w:rsid w:val="009751F3"/>
    <w:rsid w:val="00975A36"/>
    <w:rsid w:val="00976812"/>
    <w:rsid w:val="00977CF5"/>
    <w:rsid w:val="00977D91"/>
    <w:rsid w:val="00980292"/>
    <w:rsid w:val="009809F2"/>
    <w:rsid w:val="009815CC"/>
    <w:rsid w:val="00981CC2"/>
    <w:rsid w:val="00982044"/>
    <w:rsid w:val="0098233C"/>
    <w:rsid w:val="0098281B"/>
    <w:rsid w:val="00982943"/>
    <w:rsid w:val="00982D05"/>
    <w:rsid w:val="00983069"/>
    <w:rsid w:val="00983F7C"/>
    <w:rsid w:val="009861B5"/>
    <w:rsid w:val="009869C9"/>
    <w:rsid w:val="00986C98"/>
    <w:rsid w:val="009872F7"/>
    <w:rsid w:val="00987D0F"/>
    <w:rsid w:val="0099018A"/>
    <w:rsid w:val="00990C8D"/>
    <w:rsid w:val="00991988"/>
    <w:rsid w:val="0099204D"/>
    <w:rsid w:val="009921E8"/>
    <w:rsid w:val="00992337"/>
    <w:rsid w:val="00992630"/>
    <w:rsid w:val="00992850"/>
    <w:rsid w:val="009929DD"/>
    <w:rsid w:val="00992C0E"/>
    <w:rsid w:val="00992DC3"/>
    <w:rsid w:val="00992EE7"/>
    <w:rsid w:val="00992F8C"/>
    <w:rsid w:val="00993711"/>
    <w:rsid w:val="00994491"/>
    <w:rsid w:val="009948AA"/>
    <w:rsid w:val="00994BA9"/>
    <w:rsid w:val="00996653"/>
    <w:rsid w:val="00996D0A"/>
    <w:rsid w:val="0099703A"/>
    <w:rsid w:val="00997381"/>
    <w:rsid w:val="00997728"/>
    <w:rsid w:val="00997F34"/>
    <w:rsid w:val="009A066D"/>
    <w:rsid w:val="009A0962"/>
    <w:rsid w:val="009A1899"/>
    <w:rsid w:val="009A1A28"/>
    <w:rsid w:val="009A1DAD"/>
    <w:rsid w:val="009A2E16"/>
    <w:rsid w:val="009A3511"/>
    <w:rsid w:val="009A497A"/>
    <w:rsid w:val="009A4E5E"/>
    <w:rsid w:val="009A4F45"/>
    <w:rsid w:val="009A5B6A"/>
    <w:rsid w:val="009A6C3A"/>
    <w:rsid w:val="009A6D8B"/>
    <w:rsid w:val="009A7102"/>
    <w:rsid w:val="009A7811"/>
    <w:rsid w:val="009B009B"/>
    <w:rsid w:val="009B0898"/>
    <w:rsid w:val="009B1038"/>
    <w:rsid w:val="009B1BE5"/>
    <w:rsid w:val="009B247C"/>
    <w:rsid w:val="009B3C29"/>
    <w:rsid w:val="009B440A"/>
    <w:rsid w:val="009B4F70"/>
    <w:rsid w:val="009B4F94"/>
    <w:rsid w:val="009B5ABA"/>
    <w:rsid w:val="009B639B"/>
    <w:rsid w:val="009B674B"/>
    <w:rsid w:val="009B67C0"/>
    <w:rsid w:val="009B6950"/>
    <w:rsid w:val="009B7201"/>
    <w:rsid w:val="009B7385"/>
    <w:rsid w:val="009B77B0"/>
    <w:rsid w:val="009B7FA8"/>
    <w:rsid w:val="009C0C0E"/>
    <w:rsid w:val="009C0F8F"/>
    <w:rsid w:val="009C10CB"/>
    <w:rsid w:val="009C13E7"/>
    <w:rsid w:val="009C181C"/>
    <w:rsid w:val="009C1D84"/>
    <w:rsid w:val="009C1E9E"/>
    <w:rsid w:val="009C3125"/>
    <w:rsid w:val="009C419C"/>
    <w:rsid w:val="009C4368"/>
    <w:rsid w:val="009C45C0"/>
    <w:rsid w:val="009C4C59"/>
    <w:rsid w:val="009C6743"/>
    <w:rsid w:val="009D030F"/>
    <w:rsid w:val="009D05A7"/>
    <w:rsid w:val="009D07BD"/>
    <w:rsid w:val="009D09E3"/>
    <w:rsid w:val="009D0B29"/>
    <w:rsid w:val="009D0B7C"/>
    <w:rsid w:val="009D0FFD"/>
    <w:rsid w:val="009D11E2"/>
    <w:rsid w:val="009D17AF"/>
    <w:rsid w:val="009D1A74"/>
    <w:rsid w:val="009D1B22"/>
    <w:rsid w:val="009D1B27"/>
    <w:rsid w:val="009D4149"/>
    <w:rsid w:val="009D4FE8"/>
    <w:rsid w:val="009D5167"/>
    <w:rsid w:val="009D566F"/>
    <w:rsid w:val="009D6777"/>
    <w:rsid w:val="009D6F2E"/>
    <w:rsid w:val="009D7C7D"/>
    <w:rsid w:val="009D7F36"/>
    <w:rsid w:val="009E01CB"/>
    <w:rsid w:val="009E11E5"/>
    <w:rsid w:val="009E1A43"/>
    <w:rsid w:val="009E1C30"/>
    <w:rsid w:val="009E1FD2"/>
    <w:rsid w:val="009E24CB"/>
    <w:rsid w:val="009E2A88"/>
    <w:rsid w:val="009E2B48"/>
    <w:rsid w:val="009E36E4"/>
    <w:rsid w:val="009E3D64"/>
    <w:rsid w:val="009E4166"/>
    <w:rsid w:val="009E4AA0"/>
    <w:rsid w:val="009E500C"/>
    <w:rsid w:val="009E52F4"/>
    <w:rsid w:val="009E5563"/>
    <w:rsid w:val="009E58ED"/>
    <w:rsid w:val="009E5FB6"/>
    <w:rsid w:val="009E61B3"/>
    <w:rsid w:val="009E66ED"/>
    <w:rsid w:val="009E70C4"/>
    <w:rsid w:val="009E7546"/>
    <w:rsid w:val="009E7D1D"/>
    <w:rsid w:val="009F085B"/>
    <w:rsid w:val="009F0F60"/>
    <w:rsid w:val="009F1500"/>
    <w:rsid w:val="009F1CF3"/>
    <w:rsid w:val="009F1DB6"/>
    <w:rsid w:val="009F24C0"/>
    <w:rsid w:val="009F335B"/>
    <w:rsid w:val="009F3A85"/>
    <w:rsid w:val="009F42F0"/>
    <w:rsid w:val="009F49C4"/>
    <w:rsid w:val="009F4A5C"/>
    <w:rsid w:val="009F4F35"/>
    <w:rsid w:val="009F503A"/>
    <w:rsid w:val="009F51F5"/>
    <w:rsid w:val="009F558A"/>
    <w:rsid w:val="009F5B88"/>
    <w:rsid w:val="009F65DD"/>
    <w:rsid w:val="009F66FE"/>
    <w:rsid w:val="009F698D"/>
    <w:rsid w:val="009F72C4"/>
    <w:rsid w:val="009F7BD6"/>
    <w:rsid w:val="009F7CD5"/>
    <w:rsid w:val="00A009F5"/>
    <w:rsid w:val="00A00E9F"/>
    <w:rsid w:val="00A01FC7"/>
    <w:rsid w:val="00A02599"/>
    <w:rsid w:val="00A0299D"/>
    <w:rsid w:val="00A0309D"/>
    <w:rsid w:val="00A03C7F"/>
    <w:rsid w:val="00A06173"/>
    <w:rsid w:val="00A06350"/>
    <w:rsid w:val="00A066C1"/>
    <w:rsid w:val="00A06E27"/>
    <w:rsid w:val="00A070B6"/>
    <w:rsid w:val="00A1053A"/>
    <w:rsid w:val="00A10F6E"/>
    <w:rsid w:val="00A1124F"/>
    <w:rsid w:val="00A112C7"/>
    <w:rsid w:val="00A11BBE"/>
    <w:rsid w:val="00A11F88"/>
    <w:rsid w:val="00A133E1"/>
    <w:rsid w:val="00A13D2B"/>
    <w:rsid w:val="00A13E4C"/>
    <w:rsid w:val="00A14C5F"/>
    <w:rsid w:val="00A151E3"/>
    <w:rsid w:val="00A1542C"/>
    <w:rsid w:val="00A1556C"/>
    <w:rsid w:val="00A157C9"/>
    <w:rsid w:val="00A15CA1"/>
    <w:rsid w:val="00A15FE7"/>
    <w:rsid w:val="00A16279"/>
    <w:rsid w:val="00A1716E"/>
    <w:rsid w:val="00A1799D"/>
    <w:rsid w:val="00A20398"/>
    <w:rsid w:val="00A2093C"/>
    <w:rsid w:val="00A2174A"/>
    <w:rsid w:val="00A21CC9"/>
    <w:rsid w:val="00A21E68"/>
    <w:rsid w:val="00A221D3"/>
    <w:rsid w:val="00A2269D"/>
    <w:rsid w:val="00A2387A"/>
    <w:rsid w:val="00A23AFD"/>
    <w:rsid w:val="00A24207"/>
    <w:rsid w:val="00A2455D"/>
    <w:rsid w:val="00A24954"/>
    <w:rsid w:val="00A25275"/>
    <w:rsid w:val="00A25E81"/>
    <w:rsid w:val="00A2638F"/>
    <w:rsid w:val="00A26472"/>
    <w:rsid w:val="00A26547"/>
    <w:rsid w:val="00A271DF"/>
    <w:rsid w:val="00A279D0"/>
    <w:rsid w:val="00A27A4E"/>
    <w:rsid w:val="00A27FEF"/>
    <w:rsid w:val="00A3139C"/>
    <w:rsid w:val="00A3143A"/>
    <w:rsid w:val="00A31A31"/>
    <w:rsid w:val="00A31BD5"/>
    <w:rsid w:val="00A3207F"/>
    <w:rsid w:val="00A34DF2"/>
    <w:rsid w:val="00A35642"/>
    <w:rsid w:val="00A35998"/>
    <w:rsid w:val="00A35EF6"/>
    <w:rsid w:val="00A36254"/>
    <w:rsid w:val="00A36788"/>
    <w:rsid w:val="00A370FF"/>
    <w:rsid w:val="00A37296"/>
    <w:rsid w:val="00A3743A"/>
    <w:rsid w:val="00A37536"/>
    <w:rsid w:val="00A37796"/>
    <w:rsid w:val="00A37907"/>
    <w:rsid w:val="00A37CE8"/>
    <w:rsid w:val="00A400DA"/>
    <w:rsid w:val="00A40260"/>
    <w:rsid w:val="00A40501"/>
    <w:rsid w:val="00A40A3E"/>
    <w:rsid w:val="00A40DED"/>
    <w:rsid w:val="00A412D2"/>
    <w:rsid w:val="00A419CE"/>
    <w:rsid w:val="00A41AD7"/>
    <w:rsid w:val="00A42225"/>
    <w:rsid w:val="00A4242A"/>
    <w:rsid w:val="00A4249A"/>
    <w:rsid w:val="00A427DF"/>
    <w:rsid w:val="00A4336A"/>
    <w:rsid w:val="00A43705"/>
    <w:rsid w:val="00A43740"/>
    <w:rsid w:val="00A4437B"/>
    <w:rsid w:val="00A44400"/>
    <w:rsid w:val="00A447E4"/>
    <w:rsid w:val="00A46265"/>
    <w:rsid w:val="00A462EB"/>
    <w:rsid w:val="00A46C8D"/>
    <w:rsid w:val="00A47153"/>
    <w:rsid w:val="00A500C5"/>
    <w:rsid w:val="00A51040"/>
    <w:rsid w:val="00A51443"/>
    <w:rsid w:val="00A51752"/>
    <w:rsid w:val="00A524A0"/>
    <w:rsid w:val="00A528D9"/>
    <w:rsid w:val="00A52982"/>
    <w:rsid w:val="00A52A04"/>
    <w:rsid w:val="00A5317F"/>
    <w:rsid w:val="00A536FB"/>
    <w:rsid w:val="00A53B59"/>
    <w:rsid w:val="00A54259"/>
    <w:rsid w:val="00A571F2"/>
    <w:rsid w:val="00A57A5E"/>
    <w:rsid w:val="00A57AE0"/>
    <w:rsid w:val="00A6014F"/>
    <w:rsid w:val="00A604A4"/>
    <w:rsid w:val="00A6089D"/>
    <w:rsid w:val="00A610F5"/>
    <w:rsid w:val="00A614DE"/>
    <w:rsid w:val="00A61520"/>
    <w:rsid w:val="00A63EE4"/>
    <w:rsid w:val="00A64449"/>
    <w:rsid w:val="00A646A0"/>
    <w:rsid w:val="00A649A3"/>
    <w:rsid w:val="00A64FE6"/>
    <w:rsid w:val="00A65216"/>
    <w:rsid w:val="00A657F0"/>
    <w:rsid w:val="00A65A2B"/>
    <w:rsid w:val="00A65CCE"/>
    <w:rsid w:val="00A66049"/>
    <w:rsid w:val="00A66165"/>
    <w:rsid w:val="00A66189"/>
    <w:rsid w:val="00A66683"/>
    <w:rsid w:val="00A66954"/>
    <w:rsid w:val="00A669A8"/>
    <w:rsid w:val="00A66BB4"/>
    <w:rsid w:val="00A66EEB"/>
    <w:rsid w:val="00A677B0"/>
    <w:rsid w:val="00A701BA"/>
    <w:rsid w:val="00A707C3"/>
    <w:rsid w:val="00A710FE"/>
    <w:rsid w:val="00A7148B"/>
    <w:rsid w:val="00A71722"/>
    <w:rsid w:val="00A71F91"/>
    <w:rsid w:val="00A720FF"/>
    <w:rsid w:val="00A72804"/>
    <w:rsid w:val="00A72B35"/>
    <w:rsid w:val="00A73C5C"/>
    <w:rsid w:val="00A73E34"/>
    <w:rsid w:val="00A740A6"/>
    <w:rsid w:val="00A74540"/>
    <w:rsid w:val="00A75082"/>
    <w:rsid w:val="00A75335"/>
    <w:rsid w:val="00A75BC8"/>
    <w:rsid w:val="00A76239"/>
    <w:rsid w:val="00A7628B"/>
    <w:rsid w:val="00A77625"/>
    <w:rsid w:val="00A8071C"/>
    <w:rsid w:val="00A8132B"/>
    <w:rsid w:val="00A813B6"/>
    <w:rsid w:val="00A8161C"/>
    <w:rsid w:val="00A81A27"/>
    <w:rsid w:val="00A82071"/>
    <w:rsid w:val="00A8342E"/>
    <w:rsid w:val="00A83C19"/>
    <w:rsid w:val="00A84E8E"/>
    <w:rsid w:val="00A84F53"/>
    <w:rsid w:val="00A85B15"/>
    <w:rsid w:val="00A868F6"/>
    <w:rsid w:val="00A87197"/>
    <w:rsid w:val="00A87657"/>
    <w:rsid w:val="00A90331"/>
    <w:rsid w:val="00A907BC"/>
    <w:rsid w:val="00A91B1C"/>
    <w:rsid w:val="00A91B21"/>
    <w:rsid w:val="00A934CF"/>
    <w:rsid w:val="00A9364E"/>
    <w:rsid w:val="00A93CC3"/>
    <w:rsid w:val="00A942F4"/>
    <w:rsid w:val="00A94F1A"/>
    <w:rsid w:val="00A956F4"/>
    <w:rsid w:val="00A9681D"/>
    <w:rsid w:val="00A9742B"/>
    <w:rsid w:val="00AA09C6"/>
    <w:rsid w:val="00AA0B09"/>
    <w:rsid w:val="00AA1315"/>
    <w:rsid w:val="00AA1C39"/>
    <w:rsid w:val="00AA1FBC"/>
    <w:rsid w:val="00AA22D2"/>
    <w:rsid w:val="00AA3D5B"/>
    <w:rsid w:val="00AA4CB0"/>
    <w:rsid w:val="00AA4CF8"/>
    <w:rsid w:val="00AA5D55"/>
    <w:rsid w:val="00AA5FC5"/>
    <w:rsid w:val="00AA6C6B"/>
    <w:rsid w:val="00AA7DA7"/>
    <w:rsid w:val="00AB011B"/>
    <w:rsid w:val="00AB1935"/>
    <w:rsid w:val="00AB198D"/>
    <w:rsid w:val="00AB1ABB"/>
    <w:rsid w:val="00AB2042"/>
    <w:rsid w:val="00AB43B1"/>
    <w:rsid w:val="00AB50E5"/>
    <w:rsid w:val="00AB55DF"/>
    <w:rsid w:val="00AB5B4F"/>
    <w:rsid w:val="00AB5D5A"/>
    <w:rsid w:val="00AB6355"/>
    <w:rsid w:val="00AB68E0"/>
    <w:rsid w:val="00AB7657"/>
    <w:rsid w:val="00AC096A"/>
    <w:rsid w:val="00AC0F47"/>
    <w:rsid w:val="00AC10A2"/>
    <w:rsid w:val="00AC10C6"/>
    <w:rsid w:val="00AC2184"/>
    <w:rsid w:val="00AC21BA"/>
    <w:rsid w:val="00AC265D"/>
    <w:rsid w:val="00AC2972"/>
    <w:rsid w:val="00AC2CB1"/>
    <w:rsid w:val="00AC32C3"/>
    <w:rsid w:val="00AC4EE1"/>
    <w:rsid w:val="00AC633A"/>
    <w:rsid w:val="00AC653F"/>
    <w:rsid w:val="00AC6A24"/>
    <w:rsid w:val="00AC6AB7"/>
    <w:rsid w:val="00AC6CDF"/>
    <w:rsid w:val="00AC6D3D"/>
    <w:rsid w:val="00AC7F2E"/>
    <w:rsid w:val="00AD043D"/>
    <w:rsid w:val="00AD2F46"/>
    <w:rsid w:val="00AD3244"/>
    <w:rsid w:val="00AD3654"/>
    <w:rsid w:val="00AD3980"/>
    <w:rsid w:val="00AD4641"/>
    <w:rsid w:val="00AD4A68"/>
    <w:rsid w:val="00AD4D38"/>
    <w:rsid w:val="00AD58BF"/>
    <w:rsid w:val="00AD5A3D"/>
    <w:rsid w:val="00AD63F9"/>
    <w:rsid w:val="00AD67AF"/>
    <w:rsid w:val="00AD6FA9"/>
    <w:rsid w:val="00AD72F1"/>
    <w:rsid w:val="00AD743C"/>
    <w:rsid w:val="00AD7C7C"/>
    <w:rsid w:val="00AE0243"/>
    <w:rsid w:val="00AE047A"/>
    <w:rsid w:val="00AE0D11"/>
    <w:rsid w:val="00AE129E"/>
    <w:rsid w:val="00AE13D4"/>
    <w:rsid w:val="00AE2577"/>
    <w:rsid w:val="00AE29C1"/>
    <w:rsid w:val="00AE3069"/>
    <w:rsid w:val="00AE31DC"/>
    <w:rsid w:val="00AE3A31"/>
    <w:rsid w:val="00AE3ABB"/>
    <w:rsid w:val="00AE4587"/>
    <w:rsid w:val="00AE49B8"/>
    <w:rsid w:val="00AE4C77"/>
    <w:rsid w:val="00AE5DD2"/>
    <w:rsid w:val="00AE6238"/>
    <w:rsid w:val="00AE649E"/>
    <w:rsid w:val="00AE65C5"/>
    <w:rsid w:val="00AE672B"/>
    <w:rsid w:val="00AE68C9"/>
    <w:rsid w:val="00AE6F7C"/>
    <w:rsid w:val="00AE7594"/>
    <w:rsid w:val="00AE7F5A"/>
    <w:rsid w:val="00AF01CC"/>
    <w:rsid w:val="00AF0324"/>
    <w:rsid w:val="00AF13D7"/>
    <w:rsid w:val="00AF145D"/>
    <w:rsid w:val="00AF169C"/>
    <w:rsid w:val="00AF32AE"/>
    <w:rsid w:val="00AF3F43"/>
    <w:rsid w:val="00AF4476"/>
    <w:rsid w:val="00AF4AA0"/>
    <w:rsid w:val="00AF4BBD"/>
    <w:rsid w:val="00AF5C39"/>
    <w:rsid w:val="00AF5C87"/>
    <w:rsid w:val="00AF5CF7"/>
    <w:rsid w:val="00AF6408"/>
    <w:rsid w:val="00AF665A"/>
    <w:rsid w:val="00AF6957"/>
    <w:rsid w:val="00AF6C8B"/>
    <w:rsid w:val="00AF7183"/>
    <w:rsid w:val="00AF7405"/>
    <w:rsid w:val="00AF7541"/>
    <w:rsid w:val="00AF76D2"/>
    <w:rsid w:val="00AF7F60"/>
    <w:rsid w:val="00B01D55"/>
    <w:rsid w:val="00B022C9"/>
    <w:rsid w:val="00B026AB"/>
    <w:rsid w:val="00B035BA"/>
    <w:rsid w:val="00B046C3"/>
    <w:rsid w:val="00B04838"/>
    <w:rsid w:val="00B04866"/>
    <w:rsid w:val="00B0490C"/>
    <w:rsid w:val="00B050CD"/>
    <w:rsid w:val="00B0530E"/>
    <w:rsid w:val="00B05427"/>
    <w:rsid w:val="00B05569"/>
    <w:rsid w:val="00B06A28"/>
    <w:rsid w:val="00B06A5F"/>
    <w:rsid w:val="00B06C52"/>
    <w:rsid w:val="00B06E02"/>
    <w:rsid w:val="00B10096"/>
    <w:rsid w:val="00B110C9"/>
    <w:rsid w:val="00B110E3"/>
    <w:rsid w:val="00B11718"/>
    <w:rsid w:val="00B11982"/>
    <w:rsid w:val="00B11C74"/>
    <w:rsid w:val="00B1211D"/>
    <w:rsid w:val="00B128D2"/>
    <w:rsid w:val="00B13162"/>
    <w:rsid w:val="00B1381B"/>
    <w:rsid w:val="00B13EEF"/>
    <w:rsid w:val="00B1534F"/>
    <w:rsid w:val="00B15895"/>
    <w:rsid w:val="00B15A37"/>
    <w:rsid w:val="00B15D88"/>
    <w:rsid w:val="00B15EA5"/>
    <w:rsid w:val="00B1647E"/>
    <w:rsid w:val="00B1650B"/>
    <w:rsid w:val="00B165E2"/>
    <w:rsid w:val="00B169F2"/>
    <w:rsid w:val="00B170D3"/>
    <w:rsid w:val="00B17519"/>
    <w:rsid w:val="00B207D3"/>
    <w:rsid w:val="00B20F76"/>
    <w:rsid w:val="00B20FA6"/>
    <w:rsid w:val="00B21998"/>
    <w:rsid w:val="00B21BA5"/>
    <w:rsid w:val="00B22513"/>
    <w:rsid w:val="00B2268A"/>
    <w:rsid w:val="00B22E4F"/>
    <w:rsid w:val="00B22F6C"/>
    <w:rsid w:val="00B233E7"/>
    <w:rsid w:val="00B2368F"/>
    <w:rsid w:val="00B23A5D"/>
    <w:rsid w:val="00B241BB"/>
    <w:rsid w:val="00B24461"/>
    <w:rsid w:val="00B24D3A"/>
    <w:rsid w:val="00B25435"/>
    <w:rsid w:val="00B25D54"/>
    <w:rsid w:val="00B26286"/>
    <w:rsid w:val="00B263D6"/>
    <w:rsid w:val="00B27350"/>
    <w:rsid w:val="00B274CB"/>
    <w:rsid w:val="00B27FB0"/>
    <w:rsid w:val="00B3136F"/>
    <w:rsid w:val="00B32941"/>
    <w:rsid w:val="00B3355D"/>
    <w:rsid w:val="00B33FE9"/>
    <w:rsid w:val="00B347B3"/>
    <w:rsid w:val="00B349C7"/>
    <w:rsid w:val="00B34B8E"/>
    <w:rsid w:val="00B34C3D"/>
    <w:rsid w:val="00B3513D"/>
    <w:rsid w:val="00B35DF0"/>
    <w:rsid w:val="00B369C1"/>
    <w:rsid w:val="00B369DC"/>
    <w:rsid w:val="00B36CBD"/>
    <w:rsid w:val="00B37072"/>
    <w:rsid w:val="00B372CA"/>
    <w:rsid w:val="00B400FC"/>
    <w:rsid w:val="00B410AB"/>
    <w:rsid w:val="00B4130F"/>
    <w:rsid w:val="00B414FE"/>
    <w:rsid w:val="00B418CB"/>
    <w:rsid w:val="00B41B68"/>
    <w:rsid w:val="00B42664"/>
    <w:rsid w:val="00B426D7"/>
    <w:rsid w:val="00B42E17"/>
    <w:rsid w:val="00B42E9C"/>
    <w:rsid w:val="00B434EF"/>
    <w:rsid w:val="00B4381F"/>
    <w:rsid w:val="00B43E96"/>
    <w:rsid w:val="00B444F4"/>
    <w:rsid w:val="00B44530"/>
    <w:rsid w:val="00B44701"/>
    <w:rsid w:val="00B447A6"/>
    <w:rsid w:val="00B44CF4"/>
    <w:rsid w:val="00B459C8"/>
    <w:rsid w:val="00B466F5"/>
    <w:rsid w:val="00B47034"/>
    <w:rsid w:val="00B47B4B"/>
    <w:rsid w:val="00B47B85"/>
    <w:rsid w:val="00B47C8F"/>
    <w:rsid w:val="00B5046E"/>
    <w:rsid w:val="00B50E9E"/>
    <w:rsid w:val="00B5222A"/>
    <w:rsid w:val="00B524BE"/>
    <w:rsid w:val="00B52906"/>
    <w:rsid w:val="00B5296B"/>
    <w:rsid w:val="00B53460"/>
    <w:rsid w:val="00B53ED3"/>
    <w:rsid w:val="00B5421C"/>
    <w:rsid w:val="00B54325"/>
    <w:rsid w:val="00B5441E"/>
    <w:rsid w:val="00B54C3B"/>
    <w:rsid w:val="00B54F05"/>
    <w:rsid w:val="00B5512F"/>
    <w:rsid w:val="00B55650"/>
    <w:rsid w:val="00B55A08"/>
    <w:rsid w:val="00B560F8"/>
    <w:rsid w:val="00B565C7"/>
    <w:rsid w:val="00B5666F"/>
    <w:rsid w:val="00B56E9C"/>
    <w:rsid w:val="00B56EE7"/>
    <w:rsid w:val="00B570E1"/>
    <w:rsid w:val="00B5733F"/>
    <w:rsid w:val="00B6029C"/>
    <w:rsid w:val="00B60754"/>
    <w:rsid w:val="00B60912"/>
    <w:rsid w:val="00B61983"/>
    <w:rsid w:val="00B61B5E"/>
    <w:rsid w:val="00B61DB7"/>
    <w:rsid w:val="00B62BCE"/>
    <w:rsid w:val="00B63E39"/>
    <w:rsid w:val="00B6568F"/>
    <w:rsid w:val="00B656E3"/>
    <w:rsid w:val="00B662FB"/>
    <w:rsid w:val="00B6631E"/>
    <w:rsid w:val="00B66EB2"/>
    <w:rsid w:val="00B673E3"/>
    <w:rsid w:val="00B67F9E"/>
    <w:rsid w:val="00B7002F"/>
    <w:rsid w:val="00B71560"/>
    <w:rsid w:val="00B71CF2"/>
    <w:rsid w:val="00B71DC9"/>
    <w:rsid w:val="00B71EFD"/>
    <w:rsid w:val="00B72770"/>
    <w:rsid w:val="00B7310B"/>
    <w:rsid w:val="00B734C8"/>
    <w:rsid w:val="00B734DE"/>
    <w:rsid w:val="00B74064"/>
    <w:rsid w:val="00B74223"/>
    <w:rsid w:val="00B74D6E"/>
    <w:rsid w:val="00B74DBF"/>
    <w:rsid w:val="00B75040"/>
    <w:rsid w:val="00B75093"/>
    <w:rsid w:val="00B7573D"/>
    <w:rsid w:val="00B764FC"/>
    <w:rsid w:val="00B77A41"/>
    <w:rsid w:val="00B77B5D"/>
    <w:rsid w:val="00B801D6"/>
    <w:rsid w:val="00B802FF"/>
    <w:rsid w:val="00B804CB"/>
    <w:rsid w:val="00B80C33"/>
    <w:rsid w:val="00B81DE6"/>
    <w:rsid w:val="00B82533"/>
    <w:rsid w:val="00B82BBF"/>
    <w:rsid w:val="00B82E24"/>
    <w:rsid w:val="00B832D8"/>
    <w:rsid w:val="00B8486F"/>
    <w:rsid w:val="00B8499E"/>
    <w:rsid w:val="00B851BB"/>
    <w:rsid w:val="00B85439"/>
    <w:rsid w:val="00B85826"/>
    <w:rsid w:val="00B86708"/>
    <w:rsid w:val="00B86C9B"/>
    <w:rsid w:val="00B87DB6"/>
    <w:rsid w:val="00B90245"/>
    <w:rsid w:val="00B91456"/>
    <w:rsid w:val="00B9217B"/>
    <w:rsid w:val="00B923D6"/>
    <w:rsid w:val="00B936DD"/>
    <w:rsid w:val="00B93923"/>
    <w:rsid w:val="00B94838"/>
    <w:rsid w:val="00B94A03"/>
    <w:rsid w:val="00B94CF9"/>
    <w:rsid w:val="00B95020"/>
    <w:rsid w:val="00B965E6"/>
    <w:rsid w:val="00B96758"/>
    <w:rsid w:val="00B972FE"/>
    <w:rsid w:val="00BA0787"/>
    <w:rsid w:val="00BA0848"/>
    <w:rsid w:val="00BA0A33"/>
    <w:rsid w:val="00BA0CF0"/>
    <w:rsid w:val="00BA170B"/>
    <w:rsid w:val="00BA1BAE"/>
    <w:rsid w:val="00BA1D48"/>
    <w:rsid w:val="00BA2850"/>
    <w:rsid w:val="00BA2EF3"/>
    <w:rsid w:val="00BA322A"/>
    <w:rsid w:val="00BA396E"/>
    <w:rsid w:val="00BA3A7B"/>
    <w:rsid w:val="00BA45D3"/>
    <w:rsid w:val="00BA4A13"/>
    <w:rsid w:val="00BA54CC"/>
    <w:rsid w:val="00BA55E7"/>
    <w:rsid w:val="00BA5F81"/>
    <w:rsid w:val="00BA6177"/>
    <w:rsid w:val="00BA73A1"/>
    <w:rsid w:val="00BA73D3"/>
    <w:rsid w:val="00BA7661"/>
    <w:rsid w:val="00BA7919"/>
    <w:rsid w:val="00BB0958"/>
    <w:rsid w:val="00BB096B"/>
    <w:rsid w:val="00BB1247"/>
    <w:rsid w:val="00BB1556"/>
    <w:rsid w:val="00BB18B2"/>
    <w:rsid w:val="00BB2B9F"/>
    <w:rsid w:val="00BB411C"/>
    <w:rsid w:val="00BB47E8"/>
    <w:rsid w:val="00BB4F65"/>
    <w:rsid w:val="00BB555A"/>
    <w:rsid w:val="00BB5AE4"/>
    <w:rsid w:val="00BB68B0"/>
    <w:rsid w:val="00BC0148"/>
    <w:rsid w:val="00BC06BB"/>
    <w:rsid w:val="00BC2CBD"/>
    <w:rsid w:val="00BC2D4C"/>
    <w:rsid w:val="00BC3F7D"/>
    <w:rsid w:val="00BC4158"/>
    <w:rsid w:val="00BC4B61"/>
    <w:rsid w:val="00BC5A42"/>
    <w:rsid w:val="00BC5D74"/>
    <w:rsid w:val="00BC5D95"/>
    <w:rsid w:val="00BC649B"/>
    <w:rsid w:val="00BC6A8E"/>
    <w:rsid w:val="00BC7B40"/>
    <w:rsid w:val="00BD0C48"/>
    <w:rsid w:val="00BD0E75"/>
    <w:rsid w:val="00BD0F56"/>
    <w:rsid w:val="00BD167B"/>
    <w:rsid w:val="00BD1FEC"/>
    <w:rsid w:val="00BD241C"/>
    <w:rsid w:val="00BD25B6"/>
    <w:rsid w:val="00BD2816"/>
    <w:rsid w:val="00BD2DF1"/>
    <w:rsid w:val="00BD446C"/>
    <w:rsid w:val="00BD4C37"/>
    <w:rsid w:val="00BD6350"/>
    <w:rsid w:val="00BD64E9"/>
    <w:rsid w:val="00BD6503"/>
    <w:rsid w:val="00BD6769"/>
    <w:rsid w:val="00BD6A5C"/>
    <w:rsid w:val="00BD6E51"/>
    <w:rsid w:val="00BD72E2"/>
    <w:rsid w:val="00BD74A5"/>
    <w:rsid w:val="00BE0152"/>
    <w:rsid w:val="00BE0888"/>
    <w:rsid w:val="00BE14AD"/>
    <w:rsid w:val="00BE198B"/>
    <w:rsid w:val="00BE2080"/>
    <w:rsid w:val="00BE2A75"/>
    <w:rsid w:val="00BE2CDF"/>
    <w:rsid w:val="00BE2D5B"/>
    <w:rsid w:val="00BE303F"/>
    <w:rsid w:val="00BE398C"/>
    <w:rsid w:val="00BE3F15"/>
    <w:rsid w:val="00BE429B"/>
    <w:rsid w:val="00BE4429"/>
    <w:rsid w:val="00BE50C7"/>
    <w:rsid w:val="00BE55E0"/>
    <w:rsid w:val="00BE5AF4"/>
    <w:rsid w:val="00BE5E38"/>
    <w:rsid w:val="00BE6721"/>
    <w:rsid w:val="00BE6860"/>
    <w:rsid w:val="00BE686C"/>
    <w:rsid w:val="00BE7852"/>
    <w:rsid w:val="00BF28DF"/>
    <w:rsid w:val="00BF36B9"/>
    <w:rsid w:val="00BF39D1"/>
    <w:rsid w:val="00BF3E22"/>
    <w:rsid w:val="00BF3FD1"/>
    <w:rsid w:val="00BF46FD"/>
    <w:rsid w:val="00BF4B39"/>
    <w:rsid w:val="00BF64BC"/>
    <w:rsid w:val="00BF7105"/>
    <w:rsid w:val="00BF79F2"/>
    <w:rsid w:val="00C000AC"/>
    <w:rsid w:val="00C00713"/>
    <w:rsid w:val="00C01169"/>
    <w:rsid w:val="00C01512"/>
    <w:rsid w:val="00C02BA4"/>
    <w:rsid w:val="00C03638"/>
    <w:rsid w:val="00C03DAC"/>
    <w:rsid w:val="00C0468A"/>
    <w:rsid w:val="00C046C2"/>
    <w:rsid w:val="00C049B1"/>
    <w:rsid w:val="00C06453"/>
    <w:rsid w:val="00C06D85"/>
    <w:rsid w:val="00C07C9C"/>
    <w:rsid w:val="00C10826"/>
    <w:rsid w:val="00C10F03"/>
    <w:rsid w:val="00C11008"/>
    <w:rsid w:val="00C1114A"/>
    <w:rsid w:val="00C11332"/>
    <w:rsid w:val="00C118A5"/>
    <w:rsid w:val="00C11911"/>
    <w:rsid w:val="00C11E5F"/>
    <w:rsid w:val="00C1221E"/>
    <w:rsid w:val="00C12BC2"/>
    <w:rsid w:val="00C130C2"/>
    <w:rsid w:val="00C13BC0"/>
    <w:rsid w:val="00C13EF0"/>
    <w:rsid w:val="00C1468F"/>
    <w:rsid w:val="00C14D18"/>
    <w:rsid w:val="00C161BA"/>
    <w:rsid w:val="00C16A9E"/>
    <w:rsid w:val="00C16EBA"/>
    <w:rsid w:val="00C1706B"/>
    <w:rsid w:val="00C17647"/>
    <w:rsid w:val="00C17A2D"/>
    <w:rsid w:val="00C17D12"/>
    <w:rsid w:val="00C204C1"/>
    <w:rsid w:val="00C204F6"/>
    <w:rsid w:val="00C20D13"/>
    <w:rsid w:val="00C2165F"/>
    <w:rsid w:val="00C21B20"/>
    <w:rsid w:val="00C22550"/>
    <w:rsid w:val="00C22E2D"/>
    <w:rsid w:val="00C22EC7"/>
    <w:rsid w:val="00C233FD"/>
    <w:rsid w:val="00C2360E"/>
    <w:rsid w:val="00C2406A"/>
    <w:rsid w:val="00C24DD1"/>
    <w:rsid w:val="00C25289"/>
    <w:rsid w:val="00C25FBE"/>
    <w:rsid w:val="00C2600D"/>
    <w:rsid w:val="00C2607A"/>
    <w:rsid w:val="00C27A1F"/>
    <w:rsid w:val="00C27A4F"/>
    <w:rsid w:val="00C27D11"/>
    <w:rsid w:val="00C30468"/>
    <w:rsid w:val="00C30556"/>
    <w:rsid w:val="00C30AAA"/>
    <w:rsid w:val="00C310DD"/>
    <w:rsid w:val="00C3209D"/>
    <w:rsid w:val="00C34378"/>
    <w:rsid w:val="00C3502D"/>
    <w:rsid w:val="00C350B8"/>
    <w:rsid w:val="00C3575B"/>
    <w:rsid w:val="00C362EF"/>
    <w:rsid w:val="00C3651E"/>
    <w:rsid w:val="00C370C6"/>
    <w:rsid w:val="00C37790"/>
    <w:rsid w:val="00C37E60"/>
    <w:rsid w:val="00C4021B"/>
    <w:rsid w:val="00C40602"/>
    <w:rsid w:val="00C4067D"/>
    <w:rsid w:val="00C434F0"/>
    <w:rsid w:val="00C435EF"/>
    <w:rsid w:val="00C436AB"/>
    <w:rsid w:val="00C4383F"/>
    <w:rsid w:val="00C43C19"/>
    <w:rsid w:val="00C43ECD"/>
    <w:rsid w:val="00C44862"/>
    <w:rsid w:val="00C44863"/>
    <w:rsid w:val="00C4519C"/>
    <w:rsid w:val="00C46986"/>
    <w:rsid w:val="00C47225"/>
    <w:rsid w:val="00C50191"/>
    <w:rsid w:val="00C51939"/>
    <w:rsid w:val="00C51BC5"/>
    <w:rsid w:val="00C524B7"/>
    <w:rsid w:val="00C52950"/>
    <w:rsid w:val="00C542E4"/>
    <w:rsid w:val="00C5481E"/>
    <w:rsid w:val="00C549F6"/>
    <w:rsid w:val="00C551DF"/>
    <w:rsid w:val="00C555F0"/>
    <w:rsid w:val="00C55688"/>
    <w:rsid w:val="00C55F17"/>
    <w:rsid w:val="00C565B7"/>
    <w:rsid w:val="00C5677A"/>
    <w:rsid w:val="00C567F3"/>
    <w:rsid w:val="00C56F56"/>
    <w:rsid w:val="00C579F3"/>
    <w:rsid w:val="00C6057A"/>
    <w:rsid w:val="00C608A2"/>
    <w:rsid w:val="00C60BB9"/>
    <w:rsid w:val="00C622D9"/>
    <w:rsid w:val="00C626E6"/>
    <w:rsid w:val="00C627C3"/>
    <w:rsid w:val="00C62C69"/>
    <w:rsid w:val="00C64D1F"/>
    <w:rsid w:val="00C66FE1"/>
    <w:rsid w:val="00C671B5"/>
    <w:rsid w:val="00C671C6"/>
    <w:rsid w:val="00C67249"/>
    <w:rsid w:val="00C6781A"/>
    <w:rsid w:val="00C70177"/>
    <w:rsid w:val="00C706BD"/>
    <w:rsid w:val="00C7099D"/>
    <w:rsid w:val="00C7105F"/>
    <w:rsid w:val="00C710A2"/>
    <w:rsid w:val="00C711B9"/>
    <w:rsid w:val="00C71876"/>
    <w:rsid w:val="00C72584"/>
    <w:rsid w:val="00C72823"/>
    <w:rsid w:val="00C7298B"/>
    <w:rsid w:val="00C738E4"/>
    <w:rsid w:val="00C73FAC"/>
    <w:rsid w:val="00C7424C"/>
    <w:rsid w:val="00C74E8E"/>
    <w:rsid w:val="00C74E9E"/>
    <w:rsid w:val="00C74FC3"/>
    <w:rsid w:val="00C76B45"/>
    <w:rsid w:val="00C76E36"/>
    <w:rsid w:val="00C77092"/>
    <w:rsid w:val="00C7761B"/>
    <w:rsid w:val="00C77BF9"/>
    <w:rsid w:val="00C807A5"/>
    <w:rsid w:val="00C81723"/>
    <w:rsid w:val="00C820DB"/>
    <w:rsid w:val="00C834D5"/>
    <w:rsid w:val="00C835A7"/>
    <w:rsid w:val="00C8434B"/>
    <w:rsid w:val="00C855D1"/>
    <w:rsid w:val="00C85C00"/>
    <w:rsid w:val="00C85D13"/>
    <w:rsid w:val="00C86F6D"/>
    <w:rsid w:val="00C8794D"/>
    <w:rsid w:val="00C87ED1"/>
    <w:rsid w:val="00C87F0E"/>
    <w:rsid w:val="00C90F11"/>
    <w:rsid w:val="00C91276"/>
    <w:rsid w:val="00C9138C"/>
    <w:rsid w:val="00C91BD4"/>
    <w:rsid w:val="00C91E30"/>
    <w:rsid w:val="00C920C3"/>
    <w:rsid w:val="00C922FA"/>
    <w:rsid w:val="00C92679"/>
    <w:rsid w:val="00C92802"/>
    <w:rsid w:val="00C92F2B"/>
    <w:rsid w:val="00C9391E"/>
    <w:rsid w:val="00C93CD2"/>
    <w:rsid w:val="00C940F2"/>
    <w:rsid w:val="00C94160"/>
    <w:rsid w:val="00C9519C"/>
    <w:rsid w:val="00C9534C"/>
    <w:rsid w:val="00C95F10"/>
    <w:rsid w:val="00C973CB"/>
    <w:rsid w:val="00C97776"/>
    <w:rsid w:val="00C97C8E"/>
    <w:rsid w:val="00CA1BF0"/>
    <w:rsid w:val="00CA20D6"/>
    <w:rsid w:val="00CA37DD"/>
    <w:rsid w:val="00CA396A"/>
    <w:rsid w:val="00CA39C9"/>
    <w:rsid w:val="00CA3D77"/>
    <w:rsid w:val="00CA4440"/>
    <w:rsid w:val="00CA45B5"/>
    <w:rsid w:val="00CA4CE2"/>
    <w:rsid w:val="00CA5441"/>
    <w:rsid w:val="00CA60EB"/>
    <w:rsid w:val="00CA6354"/>
    <w:rsid w:val="00CA6D13"/>
    <w:rsid w:val="00CA7074"/>
    <w:rsid w:val="00CA7143"/>
    <w:rsid w:val="00CA7E9A"/>
    <w:rsid w:val="00CB0D84"/>
    <w:rsid w:val="00CB154A"/>
    <w:rsid w:val="00CB1BA6"/>
    <w:rsid w:val="00CB2D3B"/>
    <w:rsid w:val="00CB2EFD"/>
    <w:rsid w:val="00CB2FF2"/>
    <w:rsid w:val="00CB308C"/>
    <w:rsid w:val="00CB421B"/>
    <w:rsid w:val="00CB4430"/>
    <w:rsid w:val="00CB450F"/>
    <w:rsid w:val="00CB4961"/>
    <w:rsid w:val="00CB4B86"/>
    <w:rsid w:val="00CB5A5B"/>
    <w:rsid w:val="00CB668F"/>
    <w:rsid w:val="00CB67D1"/>
    <w:rsid w:val="00CC03E8"/>
    <w:rsid w:val="00CC0815"/>
    <w:rsid w:val="00CC0A44"/>
    <w:rsid w:val="00CC0D98"/>
    <w:rsid w:val="00CC10F5"/>
    <w:rsid w:val="00CC1A94"/>
    <w:rsid w:val="00CC1B2D"/>
    <w:rsid w:val="00CC2180"/>
    <w:rsid w:val="00CC2373"/>
    <w:rsid w:val="00CC2469"/>
    <w:rsid w:val="00CC29E1"/>
    <w:rsid w:val="00CC332D"/>
    <w:rsid w:val="00CC3538"/>
    <w:rsid w:val="00CC35C0"/>
    <w:rsid w:val="00CC3B73"/>
    <w:rsid w:val="00CC3EFF"/>
    <w:rsid w:val="00CC3FE6"/>
    <w:rsid w:val="00CC4332"/>
    <w:rsid w:val="00CC575A"/>
    <w:rsid w:val="00CC6069"/>
    <w:rsid w:val="00CC707C"/>
    <w:rsid w:val="00CC72D5"/>
    <w:rsid w:val="00CC76B7"/>
    <w:rsid w:val="00CD000E"/>
    <w:rsid w:val="00CD0A57"/>
    <w:rsid w:val="00CD0D99"/>
    <w:rsid w:val="00CD1A38"/>
    <w:rsid w:val="00CD20B8"/>
    <w:rsid w:val="00CD226B"/>
    <w:rsid w:val="00CD2FC8"/>
    <w:rsid w:val="00CD3171"/>
    <w:rsid w:val="00CD4131"/>
    <w:rsid w:val="00CD64D4"/>
    <w:rsid w:val="00CD7290"/>
    <w:rsid w:val="00CD75C8"/>
    <w:rsid w:val="00CE0614"/>
    <w:rsid w:val="00CE0874"/>
    <w:rsid w:val="00CE0C2F"/>
    <w:rsid w:val="00CE1EE9"/>
    <w:rsid w:val="00CE2328"/>
    <w:rsid w:val="00CE2840"/>
    <w:rsid w:val="00CE2DDC"/>
    <w:rsid w:val="00CE3797"/>
    <w:rsid w:val="00CE3D2A"/>
    <w:rsid w:val="00CE4E8E"/>
    <w:rsid w:val="00CE55A9"/>
    <w:rsid w:val="00CE568F"/>
    <w:rsid w:val="00CE56A3"/>
    <w:rsid w:val="00CE5BC5"/>
    <w:rsid w:val="00CE64B2"/>
    <w:rsid w:val="00CE688D"/>
    <w:rsid w:val="00CE6C34"/>
    <w:rsid w:val="00CE6F96"/>
    <w:rsid w:val="00CE70FF"/>
    <w:rsid w:val="00CE7497"/>
    <w:rsid w:val="00CE7EAE"/>
    <w:rsid w:val="00CF0017"/>
    <w:rsid w:val="00CF00FE"/>
    <w:rsid w:val="00CF0E5C"/>
    <w:rsid w:val="00CF1F0E"/>
    <w:rsid w:val="00CF200C"/>
    <w:rsid w:val="00CF244D"/>
    <w:rsid w:val="00CF2C75"/>
    <w:rsid w:val="00CF34C2"/>
    <w:rsid w:val="00CF34DD"/>
    <w:rsid w:val="00CF36EB"/>
    <w:rsid w:val="00CF37F6"/>
    <w:rsid w:val="00CF45F9"/>
    <w:rsid w:val="00CF4FBE"/>
    <w:rsid w:val="00CF589F"/>
    <w:rsid w:val="00CF6735"/>
    <w:rsid w:val="00CF6F3D"/>
    <w:rsid w:val="00CF759D"/>
    <w:rsid w:val="00CF7614"/>
    <w:rsid w:val="00CF7733"/>
    <w:rsid w:val="00D0030F"/>
    <w:rsid w:val="00D0049A"/>
    <w:rsid w:val="00D0085A"/>
    <w:rsid w:val="00D00A7E"/>
    <w:rsid w:val="00D00CF9"/>
    <w:rsid w:val="00D00D1F"/>
    <w:rsid w:val="00D017E0"/>
    <w:rsid w:val="00D0259D"/>
    <w:rsid w:val="00D036FE"/>
    <w:rsid w:val="00D039B6"/>
    <w:rsid w:val="00D03B1A"/>
    <w:rsid w:val="00D04C25"/>
    <w:rsid w:val="00D04FEF"/>
    <w:rsid w:val="00D0512B"/>
    <w:rsid w:val="00D051C5"/>
    <w:rsid w:val="00D05250"/>
    <w:rsid w:val="00D05F5C"/>
    <w:rsid w:val="00D05F82"/>
    <w:rsid w:val="00D0600B"/>
    <w:rsid w:val="00D0700D"/>
    <w:rsid w:val="00D07E49"/>
    <w:rsid w:val="00D1009C"/>
    <w:rsid w:val="00D10631"/>
    <w:rsid w:val="00D10869"/>
    <w:rsid w:val="00D11604"/>
    <w:rsid w:val="00D1185B"/>
    <w:rsid w:val="00D11C9D"/>
    <w:rsid w:val="00D123A3"/>
    <w:rsid w:val="00D12658"/>
    <w:rsid w:val="00D12FF2"/>
    <w:rsid w:val="00D13722"/>
    <w:rsid w:val="00D13B35"/>
    <w:rsid w:val="00D13B5B"/>
    <w:rsid w:val="00D13E80"/>
    <w:rsid w:val="00D144E0"/>
    <w:rsid w:val="00D146E0"/>
    <w:rsid w:val="00D14B9C"/>
    <w:rsid w:val="00D15E7A"/>
    <w:rsid w:val="00D16D5E"/>
    <w:rsid w:val="00D175C0"/>
    <w:rsid w:val="00D17A86"/>
    <w:rsid w:val="00D20955"/>
    <w:rsid w:val="00D20CEC"/>
    <w:rsid w:val="00D215E3"/>
    <w:rsid w:val="00D21B35"/>
    <w:rsid w:val="00D22A89"/>
    <w:rsid w:val="00D22CFD"/>
    <w:rsid w:val="00D22F14"/>
    <w:rsid w:val="00D23341"/>
    <w:rsid w:val="00D235D6"/>
    <w:rsid w:val="00D237D4"/>
    <w:rsid w:val="00D24733"/>
    <w:rsid w:val="00D24FA4"/>
    <w:rsid w:val="00D250C4"/>
    <w:rsid w:val="00D25AA5"/>
    <w:rsid w:val="00D261F2"/>
    <w:rsid w:val="00D27284"/>
    <w:rsid w:val="00D27F5B"/>
    <w:rsid w:val="00D30170"/>
    <w:rsid w:val="00D304A2"/>
    <w:rsid w:val="00D3052D"/>
    <w:rsid w:val="00D3225D"/>
    <w:rsid w:val="00D32A73"/>
    <w:rsid w:val="00D33038"/>
    <w:rsid w:val="00D33B59"/>
    <w:rsid w:val="00D3402F"/>
    <w:rsid w:val="00D3425C"/>
    <w:rsid w:val="00D34813"/>
    <w:rsid w:val="00D34A58"/>
    <w:rsid w:val="00D3537F"/>
    <w:rsid w:val="00D369FB"/>
    <w:rsid w:val="00D37085"/>
    <w:rsid w:val="00D37789"/>
    <w:rsid w:val="00D37812"/>
    <w:rsid w:val="00D40AD7"/>
    <w:rsid w:val="00D413E9"/>
    <w:rsid w:val="00D41A87"/>
    <w:rsid w:val="00D42507"/>
    <w:rsid w:val="00D425AA"/>
    <w:rsid w:val="00D44675"/>
    <w:rsid w:val="00D45995"/>
    <w:rsid w:val="00D45F37"/>
    <w:rsid w:val="00D47A1A"/>
    <w:rsid w:val="00D47B22"/>
    <w:rsid w:val="00D5002A"/>
    <w:rsid w:val="00D500FF"/>
    <w:rsid w:val="00D50883"/>
    <w:rsid w:val="00D50B91"/>
    <w:rsid w:val="00D5125B"/>
    <w:rsid w:val="00D51486"/>
    <w:rsid w:val="00D51903"/>
    <w:rsid w:val="00D51B6E"/>
    <w:rsid w:val="00D521C6"/>
    <w:rsid w:val="00D522E5"/>
    <w:rsid w:val="00D5280B"/>
    <w:rsid w:val="00D53745"/>
    <w:rsid w:val="00D547A1"/>
    <w:rsid w:val="00D54C0C"/>
    <w:rsid w:val="00D5555E"/>
    <w:rsid w:val="00D5579F"/>
    <w:rsid w:val="00D558E5"/>
    <w:rsid w:val="00D55AA7"/>
    <w:rsid w:val="00D55CEF"/>
    <w:rsid w:val="00D55D8F"/>
    <w:rsid w:val="00D5694B"/>
    <w:rsid w:val="00D57369"/>
    <w:rsid w:val="00D60440"/>
    <w:rsid w:val="00D60936"/>
    <w:rsid w:val="00D6121A"/>
    <w:rsid w:val="00D629ED"/>
    <w:rsid w:val="00D6326E"/>
    <w:rsid w:val="00D6328D"/>
    <w:rsid w:val="00D6346D"/>
    <w:rsid w:val="00D639CB"/>
    <w:rsid w:val="00D63B96"/>
    <w:rsid w:val="00D64133"/>
    <w:rsid w:val="00D644BD"/>
    <w:rsid w:val="00D671A6"/>
    <w:rsid w:val="00D674F6"/>
    <w:rsid w:val="00D7011D"/>
    <w:rsid w:val="00D706E3"/>
    <w:rsid w:val="00D7120C"/>
    <w:rsid w:val="00D72603"/>
    <w:rsid w:val="00D72931"/>
    <w:rsid w:val="00D72CEF"/>
    <w:rsid w:val="00D7353C"/>
    <w:rsid w:val="00D7454F"/>
    <w:rsid w:val="00D74C78"/>
    <w:rsid w:val="00D75132"/>
    <w:rsid w:val="00D759CB"/>
    <w:rsid w:val="00D75FD2"/>
    <w:rsid w:val="00D764BD"/>
    <w:rsid w:val="00D7657F"/>
    <w:rsid w:val="00D771BC"/>
    <w:rsid w:val="00D776E3"/>
    <w:rsid w:val="00D77E3E"/>
    <w:rsid w:val="00D80D99"/>
    <w:rsid w:val="00D80E32"/>
    <w:rsid w:val="00D815F7"/>
    <w:rsid w:val="00D81B00"/>
    <w:rsid w:val="00D82166"/>
    <w:rsid w:val="00D83BC1"/>
    <w:rsid w:val="00D842CE"/>
    <w:rsid w:val="00D8436F"/>
    <w:rsid w:val="00D84E6B"/>
    <w:rsid w:val="00D84FF1"/>
    <w:rsid w:val="00D8584A"/>
    <w:rsid w:val="00D87088"/>
    <w:rsid w:val="00D8769D"/>
    <w:rsid w:val="00D902F5"/>
    <w:rsid w:val="00D9092D"/>
    <w:rsid w:val="00D90AE8"/>
    <w:rsid w:val="00D90D73"/>
    <w:rsid w:val="00D912DD"/>
    <w:rsid w:val="00D929D7"/>
    <w:rsid w:val="00D93BBF"/>
    <w:rsid w:val="00D951AE"/>
    <w:rsid w:val="00D95445"/>
    <w:rsid w:val="00D96378"/>
    <w:rsid w:val="00D971FE"/>
    <w:rsid w:val="00D9729F"/>
    <w:rsid w:val="00D97ACB"/>
    <w:rsid w:val="00DA0631"/>
    <w:rsid w:val="00DA13EC"/>
    <w:rsid w:val="00DA27E3"/>
    <w:rsid w:val="00DA337F"/>
    <w:rsid w:val="00DA34C1"/>
    <w:rsid w:val="00DA34E6"/>
    <w:rsid w:val="00DA37DE"/>
    <w:rsid w:val="00DA4485"/>
    <w:rsid w:val="00DA5742"/>
    <w:rsid w:val="00DA57E8"/>
    <w:rsid w:val="00DA5E8A"/>
    <w:rsid w:val="00DA6574"/>
    <w:rsid w:val="00DA6A76"/>
    <w:rsid w:val="00DA6ACC"/>
    <w:rsid w:val="00DA7237"/>
    <w:rsid w:val="00DA74D9"/>
    <w:rsid w:val="00DA7DE7"/>
    <w:rsid w:val="00DA7E3B"/>
    <w:rsid w:val="00DB0164"/>
    <w:rsid w:val="00DB12DF"/>
    <w:rsid w:val="00DB1B5E"/>
    <w:rsid w:val="00DB1FB2"/>
    <w:rsid w:val="00DB2C71"/>
    <w:rsid w:val="00DB3024"/>
    <w:rsid w:val="00DB33A4"/>
    <w:rsid w:val="00DB4EA8"/>
    <w:rsid w:val="00DB694A"/>
    <w:rsid w:val="00DB7223"/>
    <w:rsid w:val="00DB7D26"/>
    <w:rsid w:val="00DC0AFD"/>
    <w:rsid w:val="00DC1737"/>
    <w:rsid w:val="00DC1A0D"/>
    <w:rsid w:val="00DC1AC4"/>
    <w:rsid w:val="00DC26C7"/>
    <w:rsid w:val="00DC41C7"/>
    <w:rsid w:val="00DC5922"/>
    <w:rsid w:val="00DC7400"/>
    <w:rsid w:val="00DC7499"/>
    <w:rsid w:val="00DC74DA"/>
    <w:rsid w:val="00DC765A"/>
    <w:rsid w:val="00DD0143"/>
    <w:rsid w:val="00DD06B3"/>
    <w:rsid w:val="00DD1419"/>
    <w:rsid w:val="00DD1D65"/>
    <w:rsid w:val="00DD2BF4"/>
    <w:rsid w:val="00DD2E1F"/>
    <w:rsid w:val="00DD36B9"/>
    <w:rsid w:val="00DD3AB3"/>
    <w:rsid w:val="00DD4522"/>
    <w:rsid w:val="00DD5EF0"/>
    <w:rsid w:val="00DD60ED"/>
    <w:rsid w:val="00DD6CD5"/>
    <w:rsid w:val="00DD7112"/>
    <w:rsid w:val="00DD7A2D"/>
    <w:rsid w:val="00DE0B96"/>
    <w:rsid w:val="00DE1332"/>
    <w:rsid w:val="00DE1375"/>
    <w:rsid w:val="00DE13CB"/>
    <w:rsid w:val="00DE2A96"/>
    <w:rsid w:val="00DE3010"/>
    <w:rsid w:val="00DE346F"/>
    <w:rsid w:val="00DE3DE0"/>
    <w:rsid w:val="00DE46E6"/>
    <w:rsid w:val="00DE48E3"/>
    <w:rsid w:val="00DE5557"/>
    <w:rsid w:val="00DE588F"/>
    <w:rsid w:val="00DE5AFD"/>
    <w:rsid w:val="00DE6052"/>
    <w:rsid w:val="00DE62E1"/>
    <w:rsid w:val="00DE6C8D"/>
    <w:rsid w:val="00DF0068"/>
    <w:rsid w:val="00DF0D88"/>
    <w:rsid w:val="00DF0EE8"/>
    <w:rsid w:val="00DF1544"/>
    <w:rsid w:val="00DF182A"/>
    <w:rsid w:val="00DF234E"/>
    <w:rsid w:val="00DF237F"/>
    <w:rsid w:val="00DF2860"/>
    <w:rsid w:val="00DF2B63"/>
    <w:rsid w:val="00DF3556"/>
    <w:rsid w:val="00DF4BE3"/>
    <w:rsid w:val="00DF4C79"/>
    <w:rsid w:val="00DF5677"/>
    <w:rsid w:val="00DF5892"/>
    <w:rsid w:val="00DF68D5"/>
    <w:rsid w:val="00DF6EB6"/>
    <w:rsid w:val="00DF7A6D"/>
    <w:rsid w:val="00E0159C"/>
    <w:rsid w:val="00E0251B"/>
    <w:rsid w:val="00E0280F"/>
    <w:rsid w:val="00E04204"/>
    <w:rsid w:val="00E0465B"/>
    <w:rsid w:val="00E047E8"/>
    <w:rsid w:val="00E06343"/>
    <w:rsid w:val="00E07173"/>
    <w:rsid w:val="00E0747C"/>
    <w:rsid w:val="00E078F7"/>
    <w:rsid w:val="00E10E53"/>
    <w:rsid w:val="00E1171D"/>
    <w:rsid w:val="00E11A5B"/>
    <w:rsid w:val="00E11BFD"/>
    <w:rsid w:val="00E12865"/>
    <w:rsid w:val="00E135FA"/>
    <w:rsid w:val="00E13917"/>
    <w:rsid w:val="00E1553C"/>
    <w:rsid w:val="00E15AA5"/>
    <w:rsid w:val="00E15F42"/>
    <w:rsid w:val="00E1614D"/>
    <w:rsid w:val="00E1682A"/>
    <w:rsid w:val="00E177C9"/>
    <w:rsid w:val="00E206D9"/>
    <w:rsid w:val="00E20DC0"/>
    <w:rsid w:val="00E21825"/>
    <w:rsid w:val="00E21E66"/>
    <w:rsid w:val="00E21E7F"/>
    <w:rsid w:val="00E2343A"/>
    <w:rsid w:val="00E23C40"/>
    <w:rsid w:val="00E23D8F"/>
    <w:rsid w:val="00E24088"/>
    <w:rsid w:val="00E24B7B"/>
    <w:rsid w:val="00E24CDE"/>
    <w:rsid w:val="00E256BC"/>
    <w:rsid w:val="00E267CE"/>
    <w:rsid w:val="00E26E12"/>
    <w:rsid w:val="00E26E9E"/>
    <w:rsid w:val="00E27580"/>
    <w:rsid w:val="00E27591"/>
    <w:rsid w:val="00E27B88"/>
    <w:rsid w:val="00E3026D"/>
    <w:rsid w:val="00E30306"/>
    <w:rsid w:val="00E30D33"/>
    <w:rsid w:val="00E31272"/>
    <w:rsid w:val="00E31F9A"/>
    <w:rsid w:val="00E3203E"/>
    <w:rsid w:val="00E32C42"/>
    <w:rsid w:val="00E3302F"/>
    <w:rsid w:val="00E3418C"/>
    <w:rsid w:val="00E3488F"/>
    <w:rsid w:val="00E353A6"/>
    <w:rsid w:val="00E36E33"/>
    <w:rsid w:val="00E378F5"/>
    <w:rsid w:val="00E37BBD"/>
    <w:rsid w:val="00E40557"/>
    <w:rsid w:val="00E417D6"/>
    <w:rsid w:val="00E4229C"/>
    <w:rsid w:val="00E4230D"/>
    <w:rsid w:val="00E42FBB"/>
    <w:rsid w:val="00E431AA"/>
    <w:rsid w:val="00E43391"/>
    <w:rsid w:val="00E4342C"/>
    <w:rsid w:val="00E43C9D"/>
    <w:rsid w:val="00E445FE"/>
    <w:rsid w:val="00E44766"/>
    <w:rsid w:val="00E44D01"/>
    <w:rsid w:val="00E452ED"/>
    <w:rsid w:val="00E45300"/>
    <w:rsid w:val="00E45396"/>
    <w:rsid w:val="00E4567D"/>
    <w:rsid w:val="00E457DE"/>
    <w:rsid w:val="00E45DC7"/>
    <w:rsid w:val="00E45EC3"/>
    <w:rsid w:val="00E46AF3"/>
    <w:rsid w:val="00E46F59"/>
    <w:rsid w:val="00E46FC1"/>
    <w:rsid w:val="00E470B6"/>
    <w:rsid w:val="00E47353"/>
    <w:rsid w:val="00E508DC"/>
    <w:rsid w:val="00E51364"/>
    <w:rsid w:val="00E51536"/>
    <w:rsid w:val="00E5173D"/>
    <w:rsid w:val="00E520B3"/>
    <w:rsid w:val="00E520B5"/>
    <w:rsid w:val="00E52F1B"/>
    <w:rsid w:val="00E547C9"/>
    <w:rsid w:val="00E547CF"/>
    <w:rsid w:val="00E54F45"/>
    <w:rsid w:val="00E55268"/>
    <w:rsid w:val="00E55727"/>
    <w:rsid w:val="00E55A2E"/>
    <w:rsid w:val="00E55A42"/>
    <w:rsid w:val="00E55F35"/>
    <w:rsid w:val="00E57CA9"/>
    <w:rsid w:val="00E60BDB"/>
    <w:rsid w:val="00E60E93"/>
    <w:rsid w:val="00E61F08"/>
    <w:rsid w:val="00E6312E"/>
    <w:rsid w:val="00E63697"/>
    <w:rsid w:val="00E63793"/>
    <w:rsid w:val="00E63FA9"/>
    <w:rsid w:val="00E6465A"/>
    <w:rsid w:val="00E660DC"/>
    <w:rsid w:val="00E66AFB"/>
    <w:rsid w:val="00E66EC9"/>
    <w:rsid w:val="00E702ED"/>
    <w:rsid w:val="00E70437"/>
    <w:rsid w:val="00E7076A"/>
    <w:rsid w:val="00E7208A"/>
    <w:rsid w:val="00E73579"/>
    <w:rsid w:val="00E73F41"/>
    <w:rsid w:val="00E7443F"/>
    <w:rsid w:val="00E75201"/>
    <w:rsid w:val="00E75CAD"/>
    <w:rsid w:val="00E77794"/>
    <w:rsid w:val="00E80015"/>
    <w:rsid w:val="00E80126"/>
    <w:rsid w:val="00E80383"/>
    <w:rsid w:val="00E813EC"/>
    <w:rsid w:val="00E81FE1"/>
    <w:rsid w:val="00E827FA"/>
    <w:rsid w:val="00E82E5E"/>
    <w:rsid w:val="00E838CE"/>
    <w:rsid w:val="00E83A2E"/>
    <w:rsid w:val="00E83D8C"/>
    <w:rsid w:val="00E84719"/>
    <w:rsid w:val="00E85331"/>
    <w:rsid w:val="00E85E85"/>
    <w:rsid w:val="00E861D2"/>
    <w:rsid w:val="00E8659A"/>
    <w:rsid w:val="00E865EF"/>
    <w:rsid w:val="00E87836"/>
    <w:rsid w:val="00E87AA3"/>
    <w:rsid w:val="00E87D0C"/>
    <w:rsid w:val="00E87F15"/>
    <w:rsid w:val="00E9119D"/>
    <w:rsid w:val="00E9139F"/>
    <w:rsid w:val="00E9237C"/>
    <w:rsid w:val="00E92810"/>
    <w:rsid w:val="00E92C4B"/>
    <w:rsid w:val="00E93093"/>
    <w:rsid w:val="00E9315D"/>
    <w:rsid w:val="00E956A3"/>
    <w:rsid w:val="00E95985"/>
    <w:rsid w:val="00E95BD3"/>
    <w:rsid w:val="00EA0070"/>
    <w:rsid w:val="00EA060D"/>
    <w:rsid w:val="00EA0756"/>
    <w:rsid w:val="00EA0C10"/>
    <w:rsid w:val="00EA1987"/>
    <w:rsid w:val="00EA2892"/>
    <w:rsid w:val="00EA391B"/>
    <w:rsid w:val="00EA4A40"/>
    <w:rsid w:val="00EA5DD7"/>
    <w:rsid w:val="00EA698C"/>
    <w:rsid w:val="00EA70E6"/>
    <w:rsid w:val="00EA72F9"/>
    <w:rsid w:val="00EB01F9"/>
    <w:rsid w:val="00EB04E8"/>
    <w:rsid w:val="00EB06A2"/>
    <w:rsid w:val="00EB0803"/>
    <w:rsid w:val="00EB087B"/>
    <w:rsid w:val="00EB0F41"/>
    <w:rsid w:val="00EB1030"/>
    <w:rsid w:val="00EB15A7"/>
    <w:rsid w:val="00EB17C7"/>
    <w:rsid w:val="00EB186A"/>
    <w:rsid w:val="00EB1D74"/>
    <w:rsid w:val="00EB1FA0"/>
    <w:rsid w:val="00EB2717"/>
    <w:rsid w:val="00EB4D21"/>
    <w:rsid w:val="00EB503E"/>
    <w:rsid w:val="00EB5168"/>
    <w:rsid w:val="00EB5829"/>
    <w:rsid w:val="00EB5D08"/>
    <w:rsid w:val="00EB6058"/>
    <w:rsid w:val="00EB6127"/>
    <w:rsid w:val="00EB68BE"/>
    <w:rsid w:val="00EB73D9"/>
    <w:rsid w:val="00EB7560"/>
    <w:rsid w:val="00EB7999"/>
    <w:rsid w:val="00EB7AAF"/>
    <w:rsid w:val="00EC032A"/>
    <w:rsid w:val="00EC0A38"/>
    <w:rsid w:val="00EC13EA"/>
    <w:rsid w:val="00EC1626"/>
    <w:rsid w:val="00EC18C8"/>
    <w:rsid w:val="00EC2463"/>
    <w:rsid w:val="00EC24AF"/>
    <w:rsid w:val="00EC4084"/>
    <w:rsid w:val="00EC4BB7"/>
    <w:rsid w:val="00EC5B75"/>
    <w:rsid w:val="00EC681E"/>
    <w:rsid w:val="00EC6B1B"/>
    <w:rsid w:val="00EC7A8E"/>
    <w:rsid w:val="00ED012C"/>
    <w:rsid w:val="00ED0848"/>
    <w:rsid w:val="00ED0E16"/>
    <w:rsid w:val="00ED180E"/>
    <w:rsid w:val="00ED1836"/>
    <w:rsid w:val="00ED19A1"/>
    <w:rsid w:val="00ED21A0"/>
    <w:rsid w:val="00ED21AE"/>
    <w:rsid w:val="00ED2D13"/>
    <w:rsid w:val="00ED2D95"/>
    <w:rsid w:val="00ED3174"/>
    <w:rsid w:val="00ED3190"/>
    <w:rsid w:val="00ED3521"/>
    <w:rsid w:val="00ED4C9A"/>
    <w:rsid w:val="00ED4FD9"/>
    <w:rsid w:val="00ED5D67"/>
    <w:rsid w:val="00ED6CCA"/>
    <w:rsid w:val="00ED6E28"/>
    <w:rsid w:val="00EE004F"/>
    <w:rsid w:val="00EE059C"/>
    <w:rsid w:val="00EE1284"/>
    <w:rsid w:val="00EE23D7"/>
    <w:rsid w:val="00EE2ACE"/>
    <w:rsid w:val="00EE2E4B"/>
    <w:rsid w:val="00EE3311"/>
    <w:rsid w:val="00EE3338"/>
    <w:rsid w:val="00EE3C66"/>
    <w:rsid w:val="00EE4A90"/>
    <w:rsid w:val="00EE4D1B"/>
    <w:rsid w:val="00EE4F1D"/>
    <w:rsid w:val="00EE5286"/>
    <w:rsid w:val="00EE53BB"/>
    <w:rsid w:val="00EE54AE"/>
    <w:rsid w:val="00EE54CE"/>
    <w:rsid w:val="00EE5632"/>
    <w:rsid w:val="00EE56C0"/>
    <w:rsid w:val="00EE6BCE"/>
    <w:rsid w:val="00EE6E2D"/>
    <w:rsid w:val="00EE6E33"/>
    <w:rsid w:val="00EE6EE3"/>
    <w:rsid w:val="00EE7003"/>
    <w:rsid w:val="00EE7023"/>
    <w:rsid w:val="00EE77A8"/>
    <w:rsid w:val="00EE7AD8"/>
    <w:rsid w:val="00EE7ED4"/>
    <w:rsid w:val="00EF005D"/>
    <w:rsid w:val="00EF04B3"/>
    <w:rsid w:val="00EF1038"/>
    <w:rsid w:val="00EF1135"/>
    <w:rsid w:val="00EF232A"/>
    <w:rsid w:val="00EF2670"/>
    <w:rsid w:val="00EF2C02"/>
    <w:rsid w:val="00EF3364"/>
    <w:rsid w:val="00EF3528"/>
    <w:rsid w:val="00EF429C"/>
    <w:rsid w:val="00EF46FE"/>
    <w:rsid w:val="00EF4906"/>
    <w:rsid w:val="00EF4914"/>
    <w:rsid w:val="00EF4C5F"/>
    <w:rsid w:val="00EF5FAA"/>
    <w:rsid w:val="00EF64B0"/>
    <w:rsid w:val="00EF67D9"/>
    <w:rsid w:val="00EF6825"/>
    <w:rsid w:val="00EF6E10"/>
    <w:rsid w:val="00EF6EE8"/>
    <w:rsid w:val="00EF6F08"/>
    <w:rsid w:val="00EF7B60"/>
    <w:rsid w:val="00F00694"/>
    <w:rsid w:val="00F009A8"/>
    <w:rsid w:val="00F014BA"/>
    <w:rsid w:val="00F01D28"/>
    <w:rsid w:val="00F023D1"/>
    <w:rsid w:val="00F02C7C"/>
    <w:rsid w:val="00F03567"/>
    <w:rsid w:val="00F0385F"/>
    <w:rsid w:val="00F03D1E"/>
    <w:rsid w:val="00F043CE"/>
    <w:rsid w:val="00F05F12"/>
    <w:rsid w:val="00F06463"/>
    <w:rsid w:val="00F06644"/>
    <w:rsid w:val="00F07CD0"/>
    <w:rsid w:val="00F106C7"/>
    <w:rsid w:val="00F10BD9"/>
    <w:rsid w:val="00F115F9"/>
    <w:rsid w:val="00F13286"/>
    <w:rsid w:val="00F13302"/>
    <w:rsid w:val="00F134C3"/>
    <w:rsid w:val="00F14433"/>
    <w:rsid w:val="00F153F9"/>
    <w:rsid w:val="00F15B20"/>
    <w:rsid w:val="00F15F43"/>
    <w:rsid w:val="00F15FAC"/>
    <w:rsid w:val="00F1608F"/>
    <w:rsid w:val="00F1670D"/>
    <w:rsid w:val="00F20F13"/>
    <w:rsid w:val="00F219CD"/>
    <w:rsid w:val="00F22873"/>
    <w:rsid w:val="00F228A7"/>
    <w:rsid w:val="00F231F8"/>
    <w:rsid w:val="00F23201"/>
    <w:rsid w:val="00F23A2F"/>
    <w:rsid w:val="00F242A1"/>
    <w:rsid w:val="00F2529B"/>
    <w:rsid w:val="00F257D4"/>
    <w:rsid w:val="00F25907"/>
    <w:rsid w:val="00F26058"/>
    <w:rsid w:val="00F26DCA"/>
    <w:rsid w:val="00F2769A"/>
    <w:rsid w:val="00F277FF"/>
    <w:rsid w:val="00F27B11"/>
    <w:rsid w:val="00F30599"/>
    <w:rsid w:val="00F3226E"/>
    <w:rsid w:val="00F32FA6"/>
    <w:rsid w:val="00F33CBD"/>
    <w:rsid w:val="00F340AF"/>
    <w:rsid w:val="00F345D6"/>
    <w:rsid w:val="00F3496F"/>
    <w:rsid w:val="00F34E99"/>
    <w:rsid w:val="00F34F12"/>
    <w:rsid w:val="00F35974"/>
    <w:rsid w:val="00F366FD"/>
    <w:rsid w:val="00F36B4E"/>
    <w:rsid w:val="00F40252"/>
    <w:rsid w:val="00F4060A"/>
    <w:rsid w:val="00F409DE"/>
    <w:rsid w:val="00F414F8"/>
    <w:rsid w:val="00F42466"/>
    <w:rsid w:val="00F42FC3"/>
    <w:rsid w:val="00F43807"/>
    <w:rsid w:val="00F43AE5"/>
    <w:rsid w:val="00F44A31"/>
    <w:rsid w:val="00F44B9C"/>
    <w:rsid w:val="00F44BA6"/>
    <w:rsid w:val="00F45BFA"/>
    <w:rsid w:val="00F465AC"/>
    <w:rsid w:val="00F46B28"/>
    <w:rsid w:val="00F47FD8"/>
    <w:rsid w:val="00F50422"/>
    <w:rsid w:val="00F50582"/>
    <w:rsid w:val="00F52113"/>
    <w:rsid w:val="00F52675"/>
    <w:rsid w:val="00F53A4A"/>
    <w:rsid w:val="00F546C4"/>
    <w:rsid w:val="00F55049"/>
    <w:rsid w:val="00F555C5"/>
    <w:rsid w:val="00F55DD1"/>
    <w:rsid w:val="00F55E27"/>
    <w:rsid w:val="00F56553"/>
    <w:rsid w:val="00F5796A"/>
    <w:rsid w:val="00F600F5"/>
    <w:rsid w:val="00F61541"/>
    <w:rsid w:val="00F6229B"/>
    <w:rsid w:val="00F627D8"/>
    <w:rsid w:val="00F62EE5"/>
    <w:rsid w:val="00F63F69"/>
    <w:rsid w:val="00F64199"/>
    <w:rsid w:val="00F649DA"/>
    <w:rsid w:val="00F64E12"/>
    <w:rsid w:val="00F650F5"/>
    <w:rsid w:val="00F663BC"/>
    <w:rsid w:val="00F6650F"/>
    <w:rsid w:val="00F66A88"/>
    <w:rsid w:val="00F66C0D"/>
    <w:rsid w:val="00F671AE"/>
    <w:rsid w:val="00F6755C"/>
    <w:rsid w:val="00F679F6"/>
    <w:rsid w:val="00F707BE"/>
    <w:rsid w:val="00F71AAF"/>
    <w:rsid w:val="00F730E9"/>
    <w:rsid w:val="00F7346A"/>
    <w:rsid w:val="00F73A04"/>
    <w:rsid w:val="00F74702"/>
    <w:rsid w:val="00F74BB5"/>
    <w:rsid w:val="00F74E6B"/>
    <w:rsid w:val="00F74F0C"/>
    <w:rsid w:val="00F7558C"/>
    <w:rsid w:val="00F75DB6"/>
    <w:rsid w:val="00F7705B"/>
    <w:rsid w:val="00F7712A"/>
    <w:rsid w:val="00F7758F"/>
    <w:rsid w:val="00F776C8"/>
    <w:rsid w:val="00F77C42"/>
    <w:rsid w:val="00F77CF3"/>
    <w:rsid w:val="00F77DA6"/>
    <w:rsid w:val="00F814F8"/>
    <w:rsid w:val="00F81577"/>
    <w:rsid w:val="00F818D6"/>
    <w:rsid w:val="00F81986"/>
    <w:rsid w:val="00F81F32"/>
    <w:rsid w:val="00F8216D"/>
    <w:rsid w:val="00F82690"/>
    <w:rsid w:val="00F8296E"/>
    <w:rsid w:val="00F82F39"/>
    <w:rsid w:val="00F832B1"/>
    <w:rsid w:val="00F8367F"/>
    <w:rsid w:val="00F83CCC"/>
    <w:rsid w:val="00F8438A"/>
    <w:rsid w:val="00F85B8C"/>
    <w:rsid w:val="00F85CF7"/>
    <w:rsid w:val="00F85EF2"/>
    <w:rsid w:val="00F862A8"/>
    <w:rsid w:val="00F86BCF"/>
    <w:rsid w:val="00F87216"/>
    <w:rsid w:val="00F87724"/>
    <w:rsid w:val="00F878D8"/>
    <w:rsid w:val="00F87B7E"/>
    <w:rsid w:val="00F87D26"/>
    <w:rsid w:val="00F90566"/>
    <w:rsid w:val="00F90699"/>
    <w:rsid w:val="00F9083E"/>
    <w:rsid w:val="00F9117F"/>
    <w:rsid w:val="00F911BA"/>
    <w:rsid w:val="00F912EB"/>
    <w:rsid w:val="00F9131E"/>
    <w:rsid w:val="00F914CB"/>
    <w:rsid w:val="00F919D9"/>
    <w:rsid w:val="00F91AD7"/>
    <w:rsid w:val="00F9251D"/>
    <w:rsid w:val="00F934ED"/>
    <w:rsid w:val="00F93FD0"/>
    <w:rsid w:val="00F943E5"/>
    <w:rsid w:val="00F95067"/>
    <w:rsid w:val="00F95119"/>
    <w:rsid w:val="00F95352"/>
    <w:rsid w:val="00F96151"/>
    <w:rsid w:val="00F965BE"/>
    <w:rsid w:val="00F9783F"/>
    <w:rsid w:val="00F97B3E"/>
    <w:rsid w:val="00FA1C5F"/>
    <w:rsid w:val="00FA3662"/>
    <w:rsid w:val="00FA378B"/>
    <w:rsid w:val="00FA3BA8"/>
    <w:rsid w:val="00FA3E3E"/>
    <w:rsid w:val="00FA3ECA"/>
    <w:rsid w:val="00FA4A86"/>
    <w:rsid w:val="00FA4DB9"/>
    <w:rsid w:val="00FA5984"/>
    <w:rsid w:val="00FA7C82"/>
    <w:rsid w:val="00FB070B"/>
    <w:rsid w:val="00FB0782"/>
    <w:rsid w:val="00FB0870"/>
    <w:rsid w:val="00FB19EA"/>
    <w:rsid w:val="00FB1A49"/>
    <w:rsid w:val="00FB1E72"/>
    <w:rsid w:val="00FB2F5A"/>
    <w:rsid w:val="00FB363A"/>
    <w:rsid w:val="00FB38B9"/>
    <w:rsid w:val="00FB4930"/>
    <w:rsid w:val="00FB4D39"/>
    <w:rsid w:val="00FB5161"/>
    <w:rsid w:val="00FB58E6"/>
    <w:rsid w:val="00FB59F2"/>
    <w:rsid w:val="00FB7B30"/>
    <w:rsid w:val="00FB7D4D"/>
    <w:rsid w:val="00FC01A1"/>
    <w:rsid w:val="00FC11DB"/>
    <w:rsid w:val="00FC14C6"/>
    <w:rsid w:val="00FC16F5"/>
    <w:rsid w:val="00FC247C"/>
    <w:rsid w:val="00FC4A1C"/>
    <w:rsid w:val="00FC506D"/>
    <w:rsid w:val="00FC5258"/>
    <w:rsid w:val="00FC5B84"/>
    <w:rsid w:val="00FC5BB2"/>
    <w:rsid w:val="00FC6007"/>
    <w:rsid w:val="00FC679A"/>
    <w:rsid w:val="00FC67DC"/>
    <w:rsid w:val="00FC7230"/>
    <w:rsid w:val="00FC790E"/>
    <w:rsid w:val="00FC7B62"/>
    <w:rsid w:val="00FD0B4E"/>
    <w:rsid w:val="00FD2407"/>
    <w:rsid w:val="00FD530C"/>
    <w:rsid w:val="00FD565B"/>
    <w:rsid w:val="00FD5BE8"/>
    <w:rsid w:val="00FD7344"/>
    <w:rsid w:val="00FD76C7"/>
    <w:rsid w:val="00FD7F03"/>
    <w:rsid w:val="00FE0822"/>
    <w:rsid w:val="00FE139E"/>
    <w:rsid w:val="00FE13E9"/>
    <w:rsid w:val="00FE1DF2"/>
    <w:rsid w:val="00FE22DD"/>
    <w:rsid w:val="00FE286D"/>
    <w:rsid w:val="00FE30DE"/>
    <w:rsid w:val="00FE32D3"/>
    <w:rsid w:val="00FE4362"/>
    <w:rsid w:val="00FE44C2"/>
    <w:rsid w:val="00FE4768"/>
    <w:rsid w:val="00FE50C6"/>
    <w:rsid w:val="00FE52AD"/>
    <w:rsid w:val="00FE54AC"/>
    <w:rsid w:val="00FE56DC"/>
    <w:rsid w:val="00FE58DD"/>
    <w:rsid w:val="00FE5B03"/>
    <w:rsid w:val="00FE608C"/>
    <w:rsid w:val="00FE6135"/>
    <w:rsid w:val="00FE6378"/>
    <w:rsid w:val="00FE692F"/>
    <w:rsid w:val="00FE6B52"/>
    <w:rsid w:val="00FE7458"/>
    <w:rsid w:val="00FF07A1"/>
    <w:rsid w:val="00FF0F0F"/>
    <w:rsid w:val="00FF12B1"/>
    <w:rsid w:val="00FF1403"/>
    <w:rsid w:val="00FF22DE"/>
    <w:rsid w:val="00FF2419"/>
    <w:rsid w:val="00FF26C9"/>
    <w:rsid w:val="00FF3267"/>
    <w:rsid w:val="00FF37B8"/>
    <w:rsid w:val="00FF3C42"/>
    <w:rsid w:val="00FF61BC"/>
    <w:rsid w:val="00FF6373"/>
    <w:rsid w:val="00FF7035"/>
    <w:rsid w:val="00FF7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C76B5"/>
  <w15:chartTrackingRefBased/>
  <w15:docId w15:val="{2D58B6CC-CD2B-C74A-AF02-52E02BC6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04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04C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4C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4C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4C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4C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4C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4C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C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04C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04C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4C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4C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4C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4C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4C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4CE6"/>
    <w:rPr>
      <w:rFonts w:eastAsiaTheme="majorEastAsia" w:cstheme="majorBidi"/>
      <w:color w:val="272727" w:themeColor="text1" w:themeTint="D8"/>
    </w:rPr>
  </w:style>
  <w:style w:type="paragraph" w:styleId="Titel">
    <w:name w:val="Title"/>
    <w:basedOn w:val="Standaard"/>
    <w:next w:val="Standaard"/>
    <w:link w:val="TitelChar"/>
    <w:uiPriority w:val="10"/>
    <w:qFormat/>
    <w:rsid w:val="00204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C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C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C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4C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4CE6"/>
    <w:rPr>
      <w:i/>
      <w:iCs/>
      <w:color w:val="404040" w:themeColor="text1" w:themeTint="BF"/>
    </w:rPr>
  </w:style>
  <w:style w:type="paragraph" w:styleId="Lijstalinea">
    <w:name w:val="List Paragraph"/>
    <w:basedOn w:val="Standaard"/>
    <w:uiPriority w:val="34"/>
    <w:qFormat/>
    <w:rsid w:val="00204CE6"/>
    <w:pPr>
      <w:ind w:left="720"/>
      <w:contextualSpacing/>
    </w:pPr>
  </w:style>
  <w:style w:type="character" w:styleId="Intensievebenadrukking">
    <w:name w:val="Intense Emphasis"/>
    <w:basedOn w:val="Standaardalinea-lettertype"/>
    <w:uiPriority w:val="21"/>
    <w:qFormat/>
    <w:rsid w:val="00204CE6"/>
    <w:rPr>
      <w:i/>
      <w:iCs/>
      <w:color w:val="0F4761" w:themeColor="accent1" w:themeShade="BF"/>
    </w:rPr>
  </w:style>
  <w:style w:type="paragraph" w:styleId="Duidelijkcitaat">
    <w:name w:val="Intense Quote"/>
    <w:basedOn w:val="Standaard"/>
    <w:next w:val="Standaard"/>
    <w:link w:val="DuidelijkcitaatChar"/>
    <w:uiPriority w:val="30"/>
    <w:qFormat/>
    <w:rsid w:val="00204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4CE6"/>
    <w:rPr>
      <w:i/>
      <w:iCs/>
      <w:color w:val="0F4761" w:themeColor="accent1" w:themeShade="BF"/>
    </w:rPr>
  </w:style>
  <w:style w:type="character" w:styleId="Intensieveverwijzing">
    <w:name w:val="Intense Reference"/>
    <w:basedOn w:val="Standaardalinea-lettertype"/>
    <w:uiPriority w:val="32"/>
    <w:qFormat/>
    <w:rsid w:val="00204CE6"/>
    <w:rPr>
      <w:b/>
      <w:bCs/>
      <w:smallCaps/>
      <w:color w:val="0F4761" w:themeColor="accent1" w:themeShade="BF"/>
      <w:spacing w:val="5"/>
    </w:rPr>
  </w:style>
  <w:style w:type="paragraph" w:styleId="Voetnoottekst">
    <w:name w:val="footnote text"/>
    <w:basedOn w:val="Standaard"/>
    <w:link w:val="VoetnoottekstChar"/>
    <w:uiPriority w:val="99"/>
    <w:unhideWhenUsed/>
    <w:rsid w:val="007D59A7"/>
    <w:pPr>
      <w:spacing w:after="0" w:line="240" w:lineRule="auto"/>
    </w:pPr>
    <w:rPr>
      <w:sz w:val="20"/>
      <w:szCs w:val="20"/>
    </w:rPr>
  </w:style>
  <w:style w:type="character" w:customStyle="1" w:styleId="VoetnoottekstChar">
    <w:name w:val="Voetnoottekst Char"/>
    <w:basedOn w:val="Standaardalinea-lettertype"/>
    <w:link w:val="Voetnoottekst"/>
    <w:uiPriority w:val="99"/>
    <w:rsid w:val="007D59A7"/>
    <w:rPr>
      <w:sz w:val="20"/>
      <w:szCs w:val="20"/>
    </w:rPr>
  </w:style>
  <w:style w:type="character" w:styleId="Voetnootmarkering">
    <w:name w:val="footnote reference"/>
    <w:basedOn w:val="Standaardalinea-lettertype"/>
    <w:uiPriority w:val="99"/>
    <w:semiHidden/>
    <w:unhideWhenUsed/>
    <w:rsid w:val="007D59A7"/>
    <w:rPr>
      <w:vertAlign w:val="superscript"/>
    </w:rPr>
  </w:style>
  <w:style w:type="character" w:styleId="Verwijzingopmerking">
    <w:name w:val="annotation reference"/>
    <w:basedOn w:val="Standaardalinea-lettertype"/>
    <w:uiPriority w:val="99"/>
    <w:semiHidden/>
    <w:unhideWhenUsed/>
    <w:rsid w:val="00A14C5F"/>
    <w:rPr>
      <w:sz w:val="16"/>
      <w:szCs w:val="16"/>
    </w:rPr>
  </w:style>
  <w:style w:type="paragraph" w:styleId="Tekstopmerking">
    <w:name w:val="annotation text"/>
    <w:basedOn w:val="Standaard"/>
    <w:link w:val="TekstopmerkingChar"/>
    <w:uiPriority w:val="99"/>
    <w:semiHidden/>
    <w:unhideWhenUsed/>
    <w:rsid w:val="00A14C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4C5F"/>
    <w:rPr>
      <w:sz w:val="20"/>
      <w:szCs w:val="20"/>
    </w:rPr>
  </w:style>
  <w:style w:type="paragraph" w:styleId="Onderwerpvanopmerking">
    <w:name w:val="annotation subject"/>
    <w:basedOn w:val="Tekstopmerking"/>
    <w:next w:val="Tekstopmerking"/>
    <w:link w:val="OnderwerpvanopmerkingChar"/>
    <w:uiPriority w:val="99"/>
    <w:semiHidden/>
    <w:unhideWhenUsed/>
    <w:rsid w:val="00A14C5F"/>
    <w:rPr>
      <w:b/>
      <w:bCs/>
    </w:rPr>
  </w:style>
  <w:style w:type="character" w:customStyle="1" w:styleId="OnderwerpvanopmerkingChar">
    <w:name w:val="Onderwerp van opmerking Char"/>
    <w:basedOn w:val="TekstopmerkingChar"/>
    <w:link w:val="Onderwerpvanopmerking"/>
    <w:uiPriority w:val="99"/>
    <w:semiHidden/>
    <w:rsid w:val="00A14C5F"/>
    <w:rPr>
      <w:b/>
      <w:bCs/>
      <w:sz w:val="20"/>
      <w:szCs w:val="20"/>
    </w:rPr>
  </w:style>
  <w:style w:type="character" w:customStyle="1" w:styleId="apple-converted-space">
    <w:name w:val="apple-converted-space"/>
    <w:basedOn w:val="Standaardalinea-lettertype"/>
    <w:rsid w:val="0058529F"/>
  </w:style>
  <w:style w:type="character" w:customStyle="1" w:styleId="wknlverwijzing">
    <w:name w:val="wknl_verwijzing"/>
    <w:basedOn w:val="Standaardalinea-lettertype"/>
    <w:rsid w:val="0058529F"/>
  </w:style>
  <w:style w:type="character" w:styleId="Nadruk">
    <w:name w:val="Emphasis"/>
    <w:basedOn w:val="Standaardalinea-lettertype"/>
    <w:uiPriority w:val="20"/>
    <w:qFormat/>
    <w:rsid w:val="0058529F"/>
    <w:rPr>
      <w:i/>
      <w:iCs/>
    </w:rPr>
  </w:style>
  <w:style w:type="character" w:styleId="Hyperlink">
    <w:name w:val="Hyperlink"/>
    <w:basedOn w:val="Standaardalinea-lettertype"/>
    <w:uiPriority w:val="99"/>
    <w:unhideWhenUsed/>
    <w:rsid w:val="00131FA0"/>
    <w:rPr>
      <w:color w:val="0000FF"/>
      <w:u w:val="single"/>
    </w:rPr>
  </w:style>
  <w:style w:type="character" w:styleId="Onopgelostemelding">
    <w:name w:val="Unresolved Mention"/>
    <w:basedOn w:val="Standaardalinea-lettertype"/>
    <w:uiPriority w:val="99"/>
    <w:semiHidden/>
    <w:unhideWhenUsed/>
    <w:rsid w:val="00E46F59"/>
    <w:rPr>
      <w:color w:val="605E5C"/>
      <w:shd w:val="clear" w:color="auto" w:fill="E1DFDD"/>
    </w:rPr>
  </w:style>
  <w:style w:type="character" w:styleId="GevolgdeHyperlink">
    <w:name w:val="FollowedHyperlink"/>
    <w:basedOn w:val="Standaardalinea-lettertype"/>
    <w:uiPriority w:val="99"/>
    <w:semiHidden/>
    <w:unhideWhenUsed/>
    <w:rsid w:val="00E46F59"/>
    <w:rPr>
      <w:color w:val="96607D" w:themeColor="followedHyperlink"/>
      <w:u w:val="single"/>
    </w:rPr>
  </w:style>
  <w:style w:type="character" w:customStyle="1" w:styleId="a">
    <w:name w:val="_"/>
    <w:basedOn w:val="Standaardalinea-lettertype"/>
    <w:rsid w:val="008E662D"/>
  </w:style>
  <w:style w:type="character" w:customStyle="1" w:styleId="ff8">
    <w:name w:val="ff8"/>
    <w:basedOn w:val="Standaardalinea-lettertype"/>
    <w:rsid w:val="008E662D"/>
  </w:style>
  <w:style w:type="character" w:customStyle="1" w:styleId="ff6">
    <w:name w:val="ff6"/>
    <w:basedOn w:val="Standaardalinea-lettertype"/>
    <w:rsid w:val="008E662D"/>
  </w:style>
  <w:style w:type="paragraph" w:styleId="Koptekst">
    <w:name w:val="header"/>
    <w:basedOn w:val="Standaard"/>
    <w:link w:val="KoptekstChar"/>
    <w:uiPriority w:val="99"/>
    <w:unhideWhenUsed/>
    <w:rsid w:val="001906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064C"/>
  </w:style>
  <w:style w:type="paragraph" w:styleId="Voettekst">
    <w:name w:val="footer"/>
    <w:basedOn w:val="Standaard"/>
    <w:link w:val="VoettekstChar"/>
    <w:uiPriority w:val="99"/>
    <w:unhideWhenUsed/>
    <w:rsid w:val="001906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064C"/>
  </w:style>
  <w:style w:type="paragraph" w:styleId="Kopvaninhoudsopgave">
    <w:name w:val="TOC Heading"/>
    <w:basedOn w:val="Kop1"/>
    <w:next w:val="Standaard"/>
    <w:uiPriority w:val="39"/>
    <w:unhideWhenUsed/>
    <w:qFormat/>
    <w:rsid w:val="0009615E"/>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09615E"/>
    <w:pPr>
      <w:spacing w:before="240" w:after="120"/>
    </w:pPr>
    <w:rPr>
      <w:b/>
      <w:bCs/>
      <w:sz w:val="20"/>
      <w:szCs w:val="20"/>
    </w:rPr>
  </w:style>
  <w:style w:type="paragraph" w:styleId="Inhopg3">
    <w:name w:val="toc 3"/>
    <w:basedOn w:val="Standaard"/>
    <w:next w:val="Standaard"/>
    <w:autoRedefine/>
    <w:uiPriority w:val="39"/>
    <w:unhideWhenUsed/>
    <w:rsid w:val="0009615E"/>
    <w:pPr>
      <w:spacing w:after="0"/>
      <w:ind w:left="480"/>
    </w:pPr>
    <w:rPr>
      <w:sz w:val="20"/>
      <w:szCs w:val="20"/>
    </w:rPr>
  </w:style>
  <w:style w:type="paragraph" w:styleId="Inhopg2">
    <w:name w:val="toc 2"/>
    <w:basedOn w:val="Standaard"/>
    <w:next w:val="Standaard"/>
    <w:autoRedefine/>
    <w:uiPriority w:val="39"/>
    <w:unhideWhenUsed/>
    <w:rsid w:val="0009615E"/>
    <w:pPr>
      <w:spacing w:before="120" w:after="0"/>
      <w:ind w:left="240"/>
    </w:pPr>
    <w:rPr>
      <w:i/>
      <w:iCs/>
      <w:sz w:val="20"/>
      <w:szCs w:val="20"/>
    </w:rPr>
  </w:style>
  <w:style w:type="paragraph" w:styleId="Inhopg4">
    <w:name w:val="toc 4"/>
    <w:basedOn w:val="Standaard"/>
    <w:next w:val="Standaard"/>
    <w:autoRedefine/>
    <w:uiPriority w:val="39"/>
    <w:semiHidden/>
    <w:unhideWhenUsed/>
    <w:rsid w:val="0009615E"/>
    <w:pPr>
      <w:spacing w:after="0"/>
      <w:ind w:left="720"/>
    </w:pPr>
    <w:rPr>
      <w:sz w:val="20"/>
      <w:szCs w:val="20"/>
    </w:rPr>
  </w:style>
  <w:style w:type="paragraph" w:styleId="Inhopg5">
    <w:name w:val="toc 5"/>
    <w:basedOn w:val="Standaard"/>
    <w:next w:val="Standaard"/>
    <w:autoRedefine/>
    <w:uiPriority w:val="39"/>
    <w:semiHidden/>
    <w:unhideWhenUsed/>
    <w:rsid w:val="0009615E"/>
    <w:pPr>
      <w:spacing w:after="0"/>
      <w:ind w:left="960"/>
    </w:pPr>
    <w:rPr>
      <w:sz w:val="20"/>
      <w:szCs w:val="20"/>
    </w:rPr>
  </w:style>
  <w:style w:type="paragraph" w:styleId="Inhopg6">
    <w:name w:val="toc 6"/>
    <w:basedOn w:val="Standaard"/>
    <w:next w:val="Standaard"/>
    <w:autoRedefine/>
    <w:uiPriority w:val="39"/>
    <w:semiHidden/>
    <w:unhideWhenUsed/>
    <w:rsid w:val="0009615E"/>
    <w:pPr>
      <w:spacing w:after="0"/>
      <w:ind w:left="1200"/>
    </w:pPr>
    <w:rPr>
      <w:sz w:val="20"/>
      <w:szCs w:val="20"/>
    </w:rPr>
  </w:style>
  <w:style w:type="paragraph" w:styleId="Inhopg7">
    <w:name w:val="toc 7"/>
    <w:basedOn w:val="Standaard"/>
    <w:next w:val="Standaard"/>
    <w:autoRedefine/>
    <w:uiPriority w:val="39"/>
    <w:semiHidden/>
    <w:unhideWhenUsed/>
    <w:rsid w:val="0009615E"/>
    <w:pPr>
      <w:spacing w:after="0"/>
      <w:ind w:left="1440"/>
    </w:pPr>
    <w:rPr>
      <w:sz w:val="20"/>
      <w:szCs w:val="20"/>
    </w:rPr>
  </w:style>
  <w:style w:type="paragraph" w:styleId="Inhopg8">
    <w:name w:val="toc 8"/>
    <w:basedOn w:val="Standaard"/>
    <w:next w:val="Standaard"/>
    <w:autoRedefine/>
    <w:uiPriority w:val="39"/>
    <w:semiHidden/>
    <w:unhideWhenUsed/>
    <w:rsid w:val="0009615E"/>
    <w:pPr>
      <w:spacing w:after="0"/>
      <w:ind w:left="1680"/>
    </w:pPr>
    <w:rPr>
      <w:sz w:val="20"/>
      <w:szCs w:val="20"/>
    </w:rPr>
  </w:style>
  <w:style w:type="paragraph" w:styleId="Inhopg9">
    <w:name w:val="toc 9"/>
    <w:basedOn w:val="Standaard"/>
    <w:next w:val="Standaard"/>
    <w:autoRedefine/>
    <w:uiPriority w:val="39"/>
    <w:semiHidden/>
    <w:unhideWhenUsed/>
    <w:rsid w:val="0009615E"/>
    <w:pPr>
      <w:spacing w:after="0"/>
      <w:ind w:left="1920"/>
    </w:pPr>
    <w:rPr>
      <w:sz w:val="20"/>
      <w:szCs w:val="20"/>
    </w:rPr>
  </w:style>
  <w:style w:type="paragraph" w:styleId="Normaalweb">
    <w:name w:val="Normal (Web)"/>
    <w:basedOn w:val="Standaard"/>
    <w:uiPriority w:val="99"/>
    <w:semiHidden/>
    <w:unhideWhenUsed/>
    <w:rsid w:val="005707E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B27350"/>
  </w:style>
  <w:style w:type="paragraph" w:customStyle="1" w:styleId="pci2gatext">
    <w:name w:val="pci2ga_text"/>
    <w:basedOn w:val="Standaard"/>
    <w:rsid w:val="005B595B"/>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89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8917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1">
    <w:name w:val="Plain Table 1"/>
    <w:basedOn w:val="Standaardtabel"/>
    <w:uiPriority w:val="41"/>
    <w:rsid w:val="008917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
    <w:name w:val="Grid Table 1 Light"/>
    <w:basedOn w:val="Standaardtabel"/>
    <w:uiPriority w:val="46"/>
    <w:rsid w:val="008917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89175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891751"/>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Onopgemaaktetabel5">
    <w:name w:val="Plain Table 5"/>
    <w:basedOn w:val="Standaardtabel"/>
    <w:uiPriority w:val="45"/>
    <w:rsid w:val="008917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jschrift">
    <w:name w:val="caption"/>
    <w:basedOn w:val="Standaard"/>
    <w:next w:val="Standaard"/>
    <w:uiPriority w:val="35"/>
    <w:unhideWhenUsed/>
    <w:qFormat/>
    <w:rsid w:val="00DE1375"/>
    <w:pPr>
      <w:spacing w:after="200" w:line="240" w:lineRule="auto"/>
    </w:pPr>
    <w:rPr>
      <w:i/>
      <w:iCs/>
      <w:color w:val="0E2841" w:themeColor="text2"/>
      <w:sz w:val="18"/>
      <w:szCs w:val="18"/>
    </w:rPr>
  </w:style>
  <w:style w:type="table" w:styleId="Tabelrasterlicht">
    <w:name w:val="Grid Table Light"/>
    <w:basedOn w:val="Standaardtabel"/>
    <w:uiPriority w:val="40"/>
    <w:rsid w:val="00364F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2">
    <w:name w:val="Plain Table 2"/>
    <w:basedOn w:val="Standaardtabel"/>
    <w:uiPriority w:val="42"/>
    <w:rsid w:val="00364F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2">
    <w:name w:val="Grid Table 2"/>
    <w:basedOn w:val="Standaardtabel"/>
    <w:uiPriority w:val="47"/>
    <w:rsid w:val="00364F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Huidigelijst1">
    <w:name w:val="Huidige lijst1"/>
    <w:uiPriority w:val="99"/>
    <w:rsid w:val="007A73A6"/>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08505">
      <w:bodyDiv w:val="1"/>
      <w:marLeft w:val="0"/>
      <w:marRight w:val="0"/>
      <w:marTop w:val="0"/>
      <w:marBottom w:val="0"/>
      <w:divBdr>
        <w:top w:val="none" w:sz="0" w:space="0" w:color="auto"/>
        <w:left w:val="none" w:sz="0" w:space="0" w:color="auto"/>
        <w:bottom w:val="none" w:sz="0" w:space="0" w:color="auto"/>
        <w:right w:val="none" w:sz="0" w:space="0" w:color="auto"/>
      </w:divBdr>
      <w:divsChild>
        <w:div w:id="1802305876">
          <w:marLeft w:val="0"/>
          <w:marRight w:val="0"/>
          <w:marTop w:val="0"/>
          <w:marBottom w:val="0"/>
          <w:divBdr>
            <w:top w:val="none" w:sz="0" w:space="0" w:color="auto"/>
            <w:left w:val="none" w:sz="0" w:space="0" w:color="auto"/>
            <w:bottom w:val="none" w:sz="0" w:space="0" w:color="auto"/>
            <w:right w:val="none" w:sz="0" w:space="0" w:color="auto"/>
          </w:divBdr>
          <w:divsChild>
            <w:div w:id="1987393910">
              <w:marLeft w:val="0"/>
              <w:marRight w:val="0"/>
              <w:marTop w:val="0"/>
              <w:marBottom w:val="0"/>
              <w:divBdr>
                <w:top w:val="none" w:sz="0" w:space="0" w:color="auto"/>
                <w:left w:val="none" w:sz="0" w:space="0" w:color="auto"/>
                <w:bottom w:val="none" w:sz="0" w:space="0" w:color="auto"/>
                <w:right w:val="none" w:sz="0" w:space="0" w:color="auto"/>
              </w:divBdr>
              <w:divsChild>
                <w:div w:id="228542519">
                  <w:marLeft w:val="0"/>
                  <w:marRight w:val="0"/>
                  <w:marTop w:val="0"/>
                  <w:marBottom w:val="0"/>
                  <w:divBdr>
                    <w:top w:val="none" w:sz="0" w:space="0" w:color="auto"/>
                    <w:left w:val="none" w:sz="0" w:space="0" w:color="auto"/>
                    <w:bottom w:val="none" w:sz="0" w:space="0" w:color="auto"/>
                    <w:right w:val="none" w:sz="0" w:space="0" w:color="auto"/>
                  </w:divBdr>
                  <w:divsChild>
                    <w:div w:id="8804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4400">
      <w:bodyDiv w:val="1"/>
      <w:marLeft w:val="0"/>
      <w:marRight w:val="0"/>
      <w:marTop w:val="0"/>
      <w:marBottom w:val="0"/>
      <w:divBdr>
        <w:top w:val="none" w:sz="0" w:space="0" w:color="auto"/>
        <w:left w:val="none" w:sz="0" w:space="0" w:color="auto"/>
        <w:bottom w:val="none" w:sz="0" w:space="0" w:color="auto"/>
        <w:right w:val="none" w:sz="0" w:space="0" w:color="auto"/>
      </w:divBdr>
      <w:divsChild>
        <w:div w:id="884413665">
          <w:marLeft w:val="0"/>
          <w:marRight w:val="0"/>
          <w:marTop w:val="0"/>
          <w:marBottom w:val="0"/>
          <w:divBdr>
            <w:top w:val="none" w:sz="0" w:space="0" w:color="auto"/>
            <w:left w:val="none" w:sz="0" w:space="0" w:color="auto"/>
            <w:bottom w:val="none" w:sz="0" w:space="0" w:color="auto"/>
            <w:right w:val="none" w:sz="0" w:space="0" w:color="auto"/>
          </w:divBdr>
          <w:divsChild>
            <w:div w:id="1561091914">
              <w:marLeft w:val="0"/>
              <w:marRight w:val="0"/>
              <w:marTop w:val="0"/>
              <w:marBottom w:val="0"/>
              <w:divBdr>
                <w:top w:val="none" w:sz="0" w:space="0" w:color="auto"/>
                <w:left w:val="none" w:sz="0" w:space="0" w:color="auto"/>
                <w:bottom w:val="none" w:sz="0" w:space="0" w:color="auto"/>
                <w:right w:val="none" w:sz="0" w:space="0" w:color="auto"/>
              </w:divBdr>
              <w:divsChild>
                <w:div w:id="1600790132">
                  <w:marLeft w:val="0"/>
                  <w:marRight w:val="0"/>
                  <w:marTop w:val="0"/>
                  <w:marBottom w:val="0"/>
                  <w:divBdr>
                    <w:top w:val="none" w:sz="0" w:space="0" w:color="auto"/>
                    <w:left w:val="none" w:sz="0" w:space="0" w:color="auto"/>
                    <w:bottom w:val="none" w:sz="0" w:space="0" w:color="auto"/>
                    <w:right w:val="none" w:sz="0" w:space="0" w:color="auto"/>
                  </w:divBdr>
                  <w:divsChild>
                    <w:div w:id="2923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24656">
      <w:bodyDiv w:val="1"/>
      <w:marLeft w:val="0"/>
      <w:marRight w:val="0"/>
      <w:marTop w:val="0"/>
      <w:marBottom w:val="0"/>
      <w:divBdr>
        <w:top w:val="none" w:sz="0" w:space="0" w:color="auto"/>
        <w:left w:val="none" w:sz="0" w:space="0" w:color="auto"/>
        <w:bottom w:val="none" w:sz="0" w:space="0" w:color="auto"/>
        <w:right w:val="none" w:sz="0" w:space="0" w:color="auto"/>
      </w:divBdr>
    </w:div>
    <w:div w:id="643778574">
      <w:bodyDiv w:val="1"/>
      <w:marLeft w:val="0"/>
      <w:marRight w:val="0"/>
      <w:marTop w:val="0"/>
      <w:marBottom w:val="0"/>
      <w:divBdr>
        <w:top w:val="none" w:sz="0" w:space="0" w:color="auto"/>
        <w:left w:val="none" w:sz="0" w:space="0" w:color="auto"/>
        <w:bottom w:val="none" w:sz="0" w:space="0" w:color="auto"/>
        <w:right w:val="none" w:sz="0" w:space="0" w:color="auto"/>
      </w:divBdr>
      <w:divsChild>
        <w:div w:id="332489873">
          <w:marLeft w:val="0"/>
          <w:marRight w:val="0"/>
          <w:marTop w:val="0"/>
          <w:marBottom w:val="0"/>
          <w:divBdr>
            <w:top w:val="none" w:sz="0" w:space="0" w:color="auto"/>
            <w:left w:val="none" w:sz="0" w:space="0" w:color="auto"/>
            <w:bottom w:val="none" w:sz="0" w:space="0" w:color="auto"/>
            <w:right w:val="none" w:sz="0" w:space="0" w:color="auto"/>
          </w:divBdr>
          <w:divsChild>
            <w:div w:id="16978292">
              <w:marLeft w:val="0"/>
              <w:marRight w:val="0"/>
              <w:marTop w:val="0"/>
              <w:marBottom w:val="0"/>
              <w:divBdr>
                <w:top w:val="none" w:sz="0" w:space="0" w:color="auto"/>
                <w:left w:val="none" w:sz="0" w:space="0" w:color="auto"/>
                <w:bottom w:val="none" w:sz="0" w:space="0" w:color="auto"/>
                <w:right w:val="none" w:sz="0" w:space="0" w:color="auto"/>
              </w:divBdr>
              <w:divsChild>
                <w:div w:id="1006640797">
                  <w:marLeft w:val="0"/>
                  <w:marRight w:val="0"/>
                  <w:marTop w:val="0"/>
                  <w:marBottom w:val="0"/>
                  <w:divBdr>
                    <w:top w:val="none" w:sz="0" w:space="0" w:color="auto"/>
                    <w:left w:val="none" w:sz="0" w:space="0" w:color="auto"/>
                    <w:bottom w:val="none" w:sz="0" w:space="0" w:color="auto"/>
                    <w:right w:val="none" w:sz="0" w:space="0" w:color="auto"/>
                  </w:divBdr>
                  <w:divsChild>
                    <w:div w:id="10432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3856">
      <w:bodyDiv w:val="1"/>
      <w:marLeft w:val="0"/>
      <w:marRight w:val="0"/>
      <w:marTop w:val="0"/>
      <w:marBottom w:val="0"/>
      <w:divBdr>
        <w:top w:val="none" w:sz="0" w:space="0" w:color="auto"/>
        <w:left w:val="none" w:sz="0" w:space="0" w:color="auto"/>
        <w:bottom w:val="none" w:sz="0" w:space="0" w:color="auto"/>
        <w:right w:val="none" w:sz="0" w:space="0" w:color="auto"/>
      </w:divBdr>
      <w:divsChild>
        <w:div w:id="1247572745">
          <w:marLeft w:val="0"/>
          <w:marRight w:val="0"/>
          <w:marTop w:val="0"/>
          <w:marBottom w:val="0"/>
          <w:divBdr>
            <w:top w:val="none" w:sz="0" w:space="0" w:color="auto"/>
            <w:left w:val="none" w:sz="0" w:space="0" w:color="auto"/>
            <w:bottom w:val="none" w:sz="0" w:space="0" w:color="auto"/>
            <w:right w:val="none" w:sz="0" w:space="0" w:color="auto"/>
          </w:divBdr>
          <w:divsChild>
            <w:div w:id="531457346">
              <w:marLeft w:val="0"/>
              <w:marRight w:val="0"/>
              <w:marTop w:val="0"/>
              <w:marBottom w:val="0"/>
              <w:divBdr>
                <w:top w:val="none" w:sz="0" w:space="0" w:color="auto"/>
                <w:left w:val="none" w:sz="0" w:space="0" w:color="auto"/>
                <w:bottom w:val="none" w:sz="0" w:space="0" w:color="auto"/>
                <w:right w:val="none" w:sz="0" w:space="0" w:color="auto"/>
              </w:divBdr>
              <w:divsChild>
                <w:div w:id="5404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6727">
      <w:bodyDiv w:val="1"/>
      <w:marLeft w:val="0"/>
      <w:marRight w:val="0"/>
      <w:marTop w:val="0"/>
      <w:marBottom w:val="0"/>
      <w:divBdr>
        <w:top w:val="none" w:sz="0" w:space="0" w:color="auto"/>
        <w:left w:val="none" w:sz="0" w:space="0" w:color="auto"/>
        <w:bottom w:val="none" w:sz="0" w:space="0" w:color="auto"/>
        <w:right w:val="none" w:sz="0" w:space="0" w:color="auto"/>
      </w:divBdr>
      <w:divsChild>
        <w:div w:id="20060517">
          <w:marLeft w:val="0"/>
          <w:marRight w:val="0"/>
          <w:marTop w:val="0"/>
          <w:marBottom w:val="0"/>
          <w:divBdr>
            <w:top w:val="none" w:sz="0" w:space="0" w:color="auto"/>
            <w:left w:val="none" w:sz="0" w:space="0" w:color="auto"/>
            <w:bottom w:val="none" w:sz="0" w:space="0" w:color="auto"/>
            <w:right w:val="none" w:sz="0" w:space="0" w:color="auto"/>
          </w:divBdr>
          <w:divsChild>
            <w:div w:id="929385834">
              <w:marLeft w:val="0"/>
              <w:marRight w:val="0"/>
              <w:marTop w:val="0"/>
              <w:marBottom w:val="0"/>
              <w:divBdr>
                <w:top w:val="none" w:sz="0" w:space="0" w:color="auto"/>
                <w:left w:val="none" w:sz="0" w:space="0" w:color="auto"/>
                <w:bottom w:val="none" w:sz="0" w:space="0" w:color="auto"/>
                <w:right w:val="none" w:sz="0" w:space="0" w:color="auto"/>
              </w:divBdr>
              <w:divsChild>
                <w:div w:id="893352883">
                  <w:marLeft w:val="0"/>
                  <w:marRight w:val="0"/>
                  <w:marTop w:val="0"/>
                  <w:marBottom w:val="0"/>
                  <w:divBdr>
                    <w:top w:val="none" w:sz="0" w:space="0" w:color="auto"/>
                    <w:left w:val="none" w:sz="0" w:space="0" w:color="auto"/>
                    <w:bottom w:val="none" w:sz="0" w:space="0" w:color="auto"/>
                    <w:right w:val="none" w:sz="0" w:space="0" w:color="auto"/>
                  </w:divBdr>
                  <w:divsChild>
                    <w:div w:id="13303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16735">
      <w:bodyDiv w:val="1"/>
      <w:marLeft w:val="0"/>
      <w:marRight w:val="0"/>
      <w:marTop w:val="0"/>
      <w:marBottom w:val="0"/>
      <w:divBdr>
        <w:top w:val="none" w:sz="0" w:space="0" w:color="auto"/>
        <w:left w:val="none" w:sz="0" w:space="0" w:color="auto"/>
        <w:bottom w:val="none" w:sz="0" w:space="0" w:color="auto"/>
        <w:right w:val="none" w:sz="0" w:space="0" w:color="auto"/>
      </w:divBdr>
    </w:div>
    <w:div w:id="1348948531">
      <w:bodyDiv w:val="1"/>
      <w:marLeft w:val="0"/>
      <w:marRight w:val="0"/>
      <w:marTop w:val="0"/>
      <w:marBottom w:val="0"/>
      <w:divBdr>
        <w:top w:val="none" w:sz="0" w:space="0" w:color="auto"/>
        <w:left w:val="none" w:sz="0" w:space="0" w:color="auto"/>
        <w:bottom w:val="none" w:sz="0" w:space="0" w:color="auto"/>
        <w:right w:val="none" w:sz="0" w:space="0" w:color="auto"/>
      </w:divBdr>
    </w:div>
    <w:div w:id="1503817301">
      <w:bodyDiv w:val="1"/>
      <w:marLeft w:val="0"/>
      <w:marRight w:val="0"/>
      <w:marTop w:val="0"/>
      <w:marBottom w:val="0"/>
      <w:divBdr>
        <w:top w:val="none" w:sz="0" w:space="0" w:color="auto"/>
        <w:left w:val="none" w:sz="0" w:space="0" w:color="auto"/>
        <w:bottom w:val="none" w:sz="0" w:space="0" w:color="auto"/>
        <w:right w:val="none" w:sz="0" w:space="0" w:color="auto"/>
      </w:divBdr>
      <w:divsChild>
        <w:div w:id="1253246572">
          <w:marLeft w:val="0"/>
          <w:marRight w:val="0"/>
          <w:marTop w:val="0"/>
          <w:marBottom w:val="0"/>
          <w:divBdr>
            <w:top w:val="none" w:sz="0" w:space="0" w:color="auto"/>
            <w:left w:val="none" w:sz="0" w:space="0" w:color="auto"/>
            <w:bottom w:val="none" w:sz="0" w:space="0" w:color="auto"/>
            <w:right w:val="none" w:sz="0" w:space="0" w:color="auto"/>
          </w:divBdr>
          <w:divsChild>
            <w:div w:id="1428191362">
              <w:marLeft w:val="0"/>
              <w:marRight w:val="0"/>
              <w:marTop w:val="0"/>
              <w:marBottom w:val="0"/>
              <w:divBdr>
                <w:top w:val="none" w:sz="0" w:space="0" w:color="auto"/>
                <w:left w:val="none" w:sz="0" w:space="0" w:color="auto"/>
                <w:bottom w:val="none" w:sz="0" w:space="0" w:color="auto"/>
                <w:right w:val="none" w:sz="0" w:space="0" w:color="auto"/>
              </w:divBdr>
              <w:divsChild>
                <w:div w:id="2087221402">
                  <w:marLeft w:val="0"/>
                  <w:marRight w:val="0"/>
                  <w:marTop w:val="0"/>
                  <w:marBottom w:val="0"/>
                  <w:divBdr>
                    <w:top w:val="none" w:sz="0" w:space="0" w:color="auto"/>
                    <w:left w:val="none" w:sz="0" w:space="0" w:color="auto"/>
                    <w:bottom w:val="none" w:sz="0" w:space="0" w:color="auto"/>
                    <w:right w:val="none" w:sz="0" w:space="0" w:color="auto"/>
                  </w:divBdr>
                  <w:divsChild>
                    <w:div w:id="15558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79888">
      <w:bodyDiv w:val="1"/>
      <w:marLeft w:val="0"/>
      <w:marRight w:val="0"/>
      <w:marTop w:val="0"/>
      <w:marBottom w:val="0"/>
      <w:divBdr>
        <w:top w:val="none" w:sz="0" w:space="0" w:color="auto"/>
        <w:left w:val="none" w:sz="0" w:space="0" w:color="auto"/>
        <w:bottom w:val="none" w:sz="0" w:space="0" w:color="auto"/>
        <w:right w:val="none" w:sz="0" w:space="0" w:color="auto"/>
      </w:divBdr>
      <w:divsChild>
        <w:div w:id="1839805342">
          <w:marLeft w:val="0"/>
          <w:marRight w:val="0"/>
          <w:marTop w:val="0"/>
          <w:marBottom w:val="0"/>
          <w:divBdr>
            <w:top w:val="none" w:sz="0" w:space="0" w:color="auto"/>
            <w:left w:val="none" w:sz="0" w:space="0" w:color="auto"/>
            <w:bottom w:val="none" w:sz="0" w:space="0" w:color="auto"/>
            <w:right w:val="none" w:sz="0" w:space="0" w:color="auto"/>
          </w:divBdr>
          <w:divsChild>
            <w:div w:id="1270432799">
              <w:marLeft w:val="0"/>
              <w:marRight w:val="0"/>
              <w:marTop w:val="0"/>
              <w:marBottom w:val="0"/>
              <w:divBdr>
                <w:top w:val="none" w:sz="0" w:space="0" w:color="auto"/>
                <w:left w:val="none" w:sz="0" w:space="0" w:color="auto"/>
                <w:bottom w:val="none" w:sz="0" w:space="0" w:color="auto"/>
                <w:right w:val="none" w:sz="0" w:space="0" w:color="auto"/>
              </w:divBdr>
              <w:divsChild>
                <w:div w:id="8155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53292">
      <w:bodyDiv w:val="1"/>
      <w:marLeft w:val="0"/>
      <w:marRight w:val="0"/>
      <w:marTop w:val="0"/>
      <w:marBottom w:val="0"/>
      <w:divBdr>
        <w:top w:val="none" w:sz="0" w:space="0" w:color="auto"/>
        <w:left w:val="none" w:sz="0" w:space="0" w:color="auto"/>
        <w:bottom w:val="none" w:sz="0" w:space="0" w:color="auto"/>
        <w:right w:val="none" w:sz="0" w:space="0" w:color="auto"/>
      </w:divBdr>
      <w:divsChild>
        <w:div w:id="1296370468">
          <w:marLeft w:val="0"/>
          <w:marRight w:val="0"/>
          <w:marTop w:val="0"/>
          <w:marBottom w:val="0"/>
          <w:divBdr>
            <w:top w:val="none" w:sz="0" w:space="0" w:color="auto"/>
            <w:left w:val="none" w:sz="0" w:space="0" w:color="auto"/>
            <w:bottom w:val="none" w:sz="0" w:space="0" w:color="auto"/>
            <w:right w:val="none" w:sz="0" w:space="0" w:color="auto"/>
          </w:divBdr>
          <w:divsChild>
            <w:div w:id="1639064500">
              <w:marLeft w:val="0"/>
              <w:marRight w:val="0"/>
              <w:marTop w:val="0"/>
              <w:marBottom w:val="0"/>
              <w:divBdr>
                <w:top w:val="none" w:sz="0" w:space="0" w:color="auto"/>
                <w:left w:val="none" w:sz="0" w:space="0" w:color="auto"/>
                <w:bottom w:val="none" w:sz="0" w:space="0" w:color="auto"/>
                <w:right w:val="none" w:sz="0" w:space="0" w:color="auto"/>
              </w:divBdr>
              <w:divsChild>
                <w:div w:id="473765892">
                  <w:marLeft w:val="0"/>
                  <w:marRight w:val="0"/>
                  <w:marTop w:val="0"/>
                  <w:marBottom w:val="0"/>
                  <w:divBdr>
                    <w:top w:val="none" w:sz="0" w:space="0" w:color="auto"/>
                    <w:left w:val="none" w:sz="0" w:space="0" w:color="auto"/>
                    <w:bottom w:val="none" w:sz="0" w:space="0" w:color="auto"/>
                    <w:right w:val="none" w:sz="0" w:space="0" w:color="auto"/>
                  </w:divBdr>
                  <w:divsChild>
                    <w:div w:id="1318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269679">
      <w:bodyDiv w:val="1"/>
      <w:marLeft w:val="0"/>
      <w:marRight w:val="0"/>
      <w:marTop w:val="0"/>
      <w:marBottom w:val="0"/>
      <w:divBdr>
        <w:top w:val="none" w:sz="0" w:space="0" w:color="auto"/>
        <w:left w:val="none" w:sz="0" w:space="0" w:color="auto"/>
        <w:bottom w:val="none" w:sz="0" w:space="0" w:color="auto"/>
        <w:right w:val="none" w:sz="0" w:space="0" w:color="auto"/>
      </w:divBdr>
      <w:divsChild>
        <w:div w:id="2095593013">
          <w:marLeft w:val="0"/>
          <w:marRight w:val="0"/>
          <w:marTop w:val="0"/>
          <w:marBottom w:val="0"/>
          <w:divBdr>
            <w:top w:val="none" w:sz="0" w:space="0" w:color="auto"/>
            <w:left w:val="none" w:sz="0" w:space="0" w:color="auto"/>
            <w:bottom w:val="none" w:sz="0" w:space="0" w:color="auto"/>
            <w:right w:val="none" w:sz="0" w:space="0" w:color="auto"/>
          </w:divBdr>
        </w:div>
        <w:div w:id="595021638">
          <w:marLeft w:val="0"/>
          <w:marRight w:val="0"/>
          <w:marTop w:val="0"/>
          <w:marBottom w:val="0"/>
          <w:divBdr>
            <w:top w:val="none" w:sz="0" w:space="0" w:color="auto"/>
            <w:left w:val="none" w:sz="0" w:space="0" w:color="auto"/>
            <w:bottom w:val="none" w:sz="0" w:space="0" w:color="auto"/>
            <w:right w:val="none" w:sz="0" w:space="0" w:color="auto"/>
          </w:divBdr>
        </w:div>
      </w:divsChild>
    </w:div>
    <w:div w:id="1660304350">
      <w:bodyDiv w:val="1"/>
      <w:marLeft w:val="0"/>
      <w:marRight w:val="0"/>
      <w:marTop w:val="0"/>
      <w:marBottom w:val="0"/>
      <w:divBdr>
        <w:top w:val="none" w:sz="0" w:space="0" w:color="auto"/>
        <w:left w:val="none" w:sz="0" w:space="0" w:color="auto"/>
        <w:bottom w:val="none" w:sz="0" w:space="0" w:color="auto"/>
        <w:right w:val="none" w:sz="0" w:space="0" w:color="auto"/>
      </w:divBdr>
    </w:div>
    <w:div w:id="1809395160">
      <w:bodyDiv w:val="1"/>
      <w:marLeft w:val="0"/>
      <w:marRight w:val="0"/>
      <w:marTop w:val="0"/>
      <w:marBottom w:val="0"/>
      <w:divBdr>
        <w:top w:val="none" w:sz="0" w:space="0" w:color="auto"/>
        <w:left w:val="none" w:sz="0" w:space="0" w:color="auto"/>
        <w:bottom w:val="none" w:sz="0" w:space="0" w:color="auto"/>
        <w:right w:val="none" w:sz="0" w:space="0" w:color="auto"/>
      </w:divBdr>
      <w:divsChild>
        <w:div w:id="1501849860">
          <w:marLeft w:val="0"/>
          <w:marRight w:val="0"/>
          <w:marTop w:val="0"/>
          <w:marBottom w:val="0"/>
          <w:divBdr>
            <w:top w:val="none" w:sz="0" w:space="0" w:color="auto"/>
            <w:left w:val="none" w:sz="0" w:space="0" w:color="auto"/>
            <w:bottom w:val="none" w:sz="0" w:space="0" w:color="auto"/>
            <w:right w:val="none" w:sz="0" w:space="0" w:color="auto"/>
          </w:divBdr>
          <w:divsChild>
            <w:div w:id="857964485">
              <w:marLeft w:val="0"/>
              <w:marRight w:val="0"/>
              <w:marTop w:val="0"/>
              <w:marBottom w:val="0"/>
              <w:divBdr>
                <w:top w:val="none" w:sz="0" w:space="0" w:color="auto"/>
                <w:left w:val="none" w:sz="0" w:space="0" w:color="auto"/>
                <w:bottom w:val="none" w:sz="0" w:space="0" w:color="auto"/>
                <w:right w:val="none" w:sz="0" w:space="0" w:color="auto"/>
              </w:divBdr>
              <w:divsChild>
                <w:div w:id="274486279">
                  <w:marLeft w:val="0"/>
                  <w:marRight w:val="0"/>
                  <w:marTop w:val="0"/>
                  <w:marBottom w:val="0"/>
                  <w:divBdr>
                    <w:top w:val="none" w:sz="0" w:space="0" w:color="auto"/>
                    <w:left w:val="none" w:sz="0" w:space="0" w:color="auto"/>
                    <w:bottom w:val="none" w:sz="0" w:space="0" w:color="auto"/>
                    <w:right w:val="none" w:sz="0" w:space="0" w:color="auto"/>
                  </w:divBdr>
                  <w:divsChild>
                    <w:div w:id="142707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34715">
      <w:bodyDiv w:val="1"/>
      <w:marLeft w:val="0"/>
      <w:marRight w:val="0"/>
      <w:marTop w:val="0"/>
      <w:marBottom w:val="0"/>
      <w:divBdr>
        <w:top w:val="none" w:sz="0" w:space="0" w:color="auto"/>
        <w:left w:val="none" w:sz="0" w:space="0" w:color="auto"/>
        <w:bottom w:val="none" w:sz="0" w:space="0" w:color="auto"/>
        <w:right w:val="none" w:sz="0" w:space="0" w:color="auto"/>
      </w:divBdr>
    </w:div>
    <w:div w:id="1917351495">
      <w:bodyDiv w:val="1"/>
      <w:marLeft w:val="0"/>
      <w:marRight w:val="0"/>
      <w:marTop w:val="0"/>
      <w:marBottom w:val="0"/>
      <w:divBdr>
        <w:top w:val="none" w:sz="0" w:space="0" w:color="auto"/>
        <w:left w:val="none" w:sz="0" w:space="0" w:color="auto"/>
        <w:bottom w:val="none" w:sz="0" w:space="0" w:color="auto"/>
        <w:right w:val="none" w:sz="0" w:space="0" w:color="auto"/>
      </w:divBdr>
      <w:divsChild>
        <w:div w:id="1110708215">
          <w:marLeft w:val="0"/>
          <w:marRight w:val="0"/>
          <w:marTop w:val="0"/>
          <w:marBottom w:val="0"/>
          <w:divBdr>
            <w:top w:val="none" w:sz="0" w:space="0" w:color="auto"/>
            <w:left w:val="none" w:sz="0" w:space="0" w:color="auto"/>
            <w:bottom w:val="none" w:sz="0" w:space="0" w:color="auto"/>
            <w:right w:val="none" w:sz="0" w:space="0" w:color="auto"/>
          </w:divBdr>
          <w:divsChild>
            <w:div w:id="251012664">
              <w:marLeft w:val="0"/>
              <w:marRight w:val="0"/>
              <w:marTop w:val="0"/>
              <w:marBottom w:val="0"/>
              <w:divBdr>
                <w:top w:val="none" w:sz="0" w:space="0" w:color="auto"/>
                <w:left w:val="none" w:sz="0" w:space="0" w:color="auto"/>
                <w:bottom w:val="none" w:sz="0" w:space="0" w:color="auto"/>
                <w:right w:val="none" w:sz="0" w:space="0" w:color="auto"/>
              </w:divBdr>
              <w:divsChild>
                <w:div w:id="4044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7718">
      <w:bodyDiv w:val="1"/>
      <w:marLeft w:val="0"/>
      <w:marRight w:val="0"/>
      <w:marTop w:val="0"/>
      <w:marBottom w:val="0"/>
      <w:divBdr>
        <w:top w:val="none" w:sz="0" w:space="0" w:color="auto"/>
        <w:left w:val="none" w:sz="0" w:space="0" w:color="auto"/>
        <w:bottom w:val="none" w:sz="0" w:space="0" w:color="auto"/>
        <w:right w:val="none" w:sz="0" w:space="0" w:color="auto"/>
      </w:divBdr>
      <w:divsChild>
        <w:div w:id="791287029">
          <w:marLeft w:val="0"/>
          <w:marRight w:val="0"/>
          <w:marTop w:val="0"/>
          <w:marBottom w:val="0"/>
          <w:divBdr>
            <w:top w:val="none" w:sz="0" w:space="0" w:color="auto"/>
            <w:left w:val="none" w:sz="0" w:space="0" w:color="auto"/>
            <w:bottom w:val="none" w:sz="0" w:space="0" w:color="auto"/>
            <w:right w:val="none" w:sz="0" w:space="0" w:color="auto"/>
          </w:divBdr>
          <w:divsChild>
            <w:div w:id="1122114506">
              <w:marLeft w:val="0"/>
              <w:marRight w:val="0"/>
              <w:marTop w:val="0"/>
              <w:marBottom w:val="0"/>
              <w:divBdr>
                <w:top w:val="none" w:sz="0" w:space="0" w:color="auto"/>
                <w:left w:val="none" w:sz="0" w:space="0" w:color="auto"/>
                <w:bottom w:val="none" w:sz="0" w:space="0" w:color="auto"/>
                <w:right w:val="none" w:sz="0" w:space="0" w:color="auto"/>
              </w:divBdr>
              <w:divsChild>
                <w:div w:id="12716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2509">
      <w:bodyDiv w:val="1"/>
      <w:marLeft w:val="0"/>
      <w:marRight w:val="0"/>
      <w:marTop w:val="0"/>
      <w:marBottom w:val="0"/>
      <w:divBdr>
        <w:top w:val="none" w:sz="0" w:space="0" w:color="auto"/>
        <w:left w:val="none" w:sz="0" w:space="0" w:color="auto"/>
        <w:bottom w:val="none" w:sz="0" w:space="0" w:color="auto"/>
        <w:right w:val="none" w:sz="0" w:space="0" w:color="auto"/>
      </w:divBdr>
      <w:divsChild>
        <w:div w:id="896209537">
          <w:marLeft w:val="0"/>
          <w:marRight w:val="0"/>
          <w:marTop w:val="0"/>
          <w:marBottom w:val="0"/>
          <w:divBdr>
            <w:top w:val="none" w:sz="0" w:space="0" w:color="auto"/>
            <w:left w:val="none" w:sz="0" w:space="0" w:color="auto"/>
            <w:bottom w:val="none" w:sz="0" w:space="0" w:color="auto"/>
            <w:right w:val="none" w:sz="0" w:space="0" w:color="auto"/>
          </w:divBdr>
          <w:divsChild>
            <w:div w:id="139464122">
              <w:marLeft w:val="0"/>
              <w:marRight w:val="0"/>
              <w:marTop w:val="0"/>
              <w:marBottom w:val="0"/>
              <w:divBdr>
                <w:top w:val="none" w:sz="0" w:space="0" w:color="auto"/>
                <w:left w:val="none" w:sz="0" w:space="0" w:color="auto"/>
                <w:bottom w:val="none" w:sz="0" w:space="0" w:color="auto"/>
                <w:right w:val="none" w:sz="0" w:space="0" w:color="auto"/>
              </w:divBdr>
              <w:divsChild>
                <w:div w:id="1423529326">
                  <w:marLeft w:val="0"/>
                  <w:marRight w:val="0"/>
                  <w:marTop w:val="0"/>
                  <w:marBottom w:val="0"/>
                  <w:divBdr>
                    <w:top w:val="none" w:sz="0" w:space="0" w:color="auto"/>
                    <w:left w:val="none" w:sz="0" w:space="0" w:color="auto"/>
                    <w:bottom w:val="none" w:sz="0" w:space="0" w:color="auto"/>
                    <w:right w:val="none" w:sz="0" w:space="0" w:color="auto"/>
                  </w:divBdr>
                  <w:divsChild>
                    <w:div w:id="3233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ek.officielebekendmakingen.nl/kst-31579-C.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EF739E-AA40-AC42-9395-CF472DC531F3}">
  <we:reference id="1dc730d1-70c2-4725-8cc6-7a003fd4a2db" version="2.0.0.0" store="EXCatalog" storeType="EXCatalog"/>
  <we:alternateReferences>
    <we:reference id="WA200005983" version="2.0.0.0" store="nl-N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75052-810D-8741-9088-D5760D2F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61</Pages>
  <Words>22816</Words>
  <Characters>125491</Characters>
  <Application>Microsoft Office Word</Application>
  <DocSecurity>0</DocSecurity>
  <Lines>1045</Lines>
  <Paragraphs>296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Smits, N. (Noa)</dc:creator>
  <cp:keywords/>
  <dc:description/>
  <cp:lastModifiedBy>Smits, N. (Noa)</cp:lastModifiedBy>
  <cp:revision>30</cp:revision>
  <dcterms:created xsi:type="dcterms:W3CDTF">2024-11-17T21:04:00Z</dcterms:created>
  <dcterms:modified xsi:type="dcterms:W3CDTF">2025-03-29T10:21:00Z</dcterms:modified>
</cp:coreProperties>
</file>